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2C8D8" w14:textId="634E1D68" w:rsidR="005C5FC0" w:rsidRDefault="00C327BB" w:rsidP="005C5FC0">
      <w:pPr>
        <w:pStyle w:val="Title"/>
        <w:rPr>
          <w:spacing w:val="-3"/>
          <w:sz w:val="34"/>
          <w:szCs w:val="34"/>
        </w:rPr>
      </w:pPr>
      <w:r>
        <w:rPr>
          <w:spacing w:val="-3"/>
          <w:sz w:val="34"/>
          <w:szCs w:val="34"/>
        </w:rPr>
        <w:t>Georgia</w:t>
      </w:r>
      <w:r w:rsidR="005C5FC0">
        <w:rPr>
          <w:spacing w:val="-3"/>
          <w:sz w:val="34"/>
          <w:szCs w:val="34"/>
        </w:rPr>
        <w:t xml:space="preserve"> Residents Struggle to Afford High Healthcare Costs; COVID Fears Add to Support for a Range of Government Solutions Across Party Lines</w:t>
      </w:r>
    </w:p>
    <w:p w14:paraId="70AA2292" w14:textId="77777777" w:rsidR="005C5FC0" w:rsidRDefault="005C5FC0" w:rsidP="005C5FC0">
      <w:pPr>
        <w:pStyle w:val="SubHead"/>
      </w:pPr>
      <w:r>
        <w:t>Key Findings</w:t>
      </w:r>
    </w:p>
    <w:p w14:paraId="49FD280F" w14:textId="02660E5B" w:rsidR="005C5FC0" w:rsidRDefault="00697A59" w:rsidP="005C5FC0">
      <w:pPr>
        <w:pStyle w:val="BodyFirstGraph"/>
        <w:rPr>
          <w:spacing w:val="-7"/>
          <w:position w:val="8"/>
        </w:rPr>
      </w:pPr>
      <w:r>
        <w:rPr>
          <w:spacing w:val="-7"/>
          <w:position w:val="8"/>
        </w:rPr>
        <w:t>A s</w:t>
      </w:r>
      <w:r w:rsidR="00C327BB">
        <w:rPr>
          <w:spacing w:val="-7"/>
          <w:position w:val="8"/>
        </w:rPr>
        <w:t>urvey of more than 9</w:t>
      </w:r>
      <w:r w:rsidR="003434B8">
        <w:rPr>
          <w:spacing w:val="-7"/>
          <w:position w:val="8"/>
        </w:rPr>
        <w:t>5</w:t>
      </w:r>
      <w:r w:rsidR="00C327BB">
        <w:rPr>
          <w:spacing w:val="-7"/>
          <w:position w:val="8"/>
        </w:rPr>
        <w:t>0 Georgia</w:t>
      </w:r>
      <w:r w:rsidR="00D85880">
        <w:rPr>
          <w:spacing w:val="-7"/>
          <w:position w:val="8"/>
        </w:rPr>
        <w:t xml:space="preserve"> adults, conducted from April 12, 2021 to May 3</w:t>
      </w:r>
      <w:r>
        <w:rPr>
          <w:spacing w:val="-7"/>
          <w:position w:val="8"/>
        </w:rPr>
        <w:t>, 2021</w:t>
      </w:r>
      <w:r w:rsidR="005C5FC0">
        <w:rPr>
          <w:spacing w:val="-7"/>
          <w:position w:val="8"/>
        </w:rPr>
        <w:t>, found that:</w:t>
      </w:r>
    </w:p>
    <w:p w14:paraId="0FF6AC62" w14:textId="30AE2E05" w:rsidR="005C5FC0" w:rsidRDefault="4BC752EE" w:rsidP="005C5FC0">
      <w:pPr>
        <w:pStyle w:val="BodyBulletFirst"/>
        <w:numPr>
          <w:ilvl w:val="0"/>
          <w:numId w:val="2"/>
        </w:numPr>
      </w:pPr>
      <w:r>
        <w:rPr>
          <w:position w:val="8"/>
        </w:rPr>
        <w:t>Almost</w:t>
      </w:r>
      <w:r w:rsidR="6777D7F4" w:rsidRPr="572EFD56">
        <w:rPr>
          <w:b/>
          <w:bCs/>
          <w:position w:val="8"/>
        </w:rPr>
        <w:t xml:space="preserve"> </w:t>
      </w:r>
      <w:r w:rsidR="650A2F50" w:rsidRPr="572EFD56">
        <w:rPr>
          <w:b/>
          <w:bCs/>
          <w:position w:val="8"/>
        </w:rPr>
        <w:t>7</w:t>
      </w:r>
      <w:r w:rsidR="3A6F7362" w:rsidRPr="572EFD56">
        <w:rPr>
          <w:b/>
          <w:bCs/>
          <w:position w:val="8"/>
        </w:rPr>
        <w:t xml:space="preserve"> in </w:t>
      </w:r>
      <w:r w:rsidR="524F22DB" w:rsidRPr="572EFD56">
        <w:rPr>
          <w:b/>
          <w:bCs/>
          <w:position w:val="8"/>
        </w:rPr>
        <w:t>10</w:t>
      </w:r>
      <w:r w:rsidR="3A6F7362" w:rsidRPr="572EFD56">
        <w:rPr>
          <w:b/>
          <w:bCs/>
          <w:position w:val="8"/>
        </w:rPr>
        <w:t xml:space="preserve"> </w:t>
      </w:r>
      <w:r w:rsidR="00D85880">
        <w:rPr>
          <w:position w:val="8"/>
        </w:rPr>
        <w:t>(68</w:t>
      </w:r>
      <w:r w:rsidR="02B7D312">
        <w:rPr>
          <w:position w:val="8"/>
        </w:rPr>
        <w:t>%)</w:t>
      </w:r>
      <w:r w:rsidR="02B7D312" w:rsidRPr="572EFD56">
        <w:rPr>
          <w:b/>
          <w:bCs/>
          <w:position w:val="8"/>
        </w:rPr>
        <w:t xml:space="preserve"> </w:t>
      </w:r>
      <w:r w:rsidR="005C5FC0">
        <w:rPr>
          <w:position w:val="8"/>
        </w:rPr>
        <w:t>experienced healthcare affordability burdens in the past</w:t>
      </w:r>
      <w:r w:rsidR="005C5FC0">
        <w:rPr>
          <w:spacing w:val="-27"/>
          <w:position w:val="8"/>
        </w:rPr>
        <w:t xml:space="preserve"> </w:t>
      </w:r>
      <w:proofErr w:type="gramStart"/>
      <w:r w:rsidR="005C5FC0">
        <w:rPr>
          <w:position w:val="8"/>
        </w:rPr>
        <w:t>year;</w:t>
      </w:r>
      <w:proofErr w:type="gramEnd"/>
    </w:p>
    <w:p w14:paraId="053FD26B" w14:textId="28D5FA89" w:rsidR="005C5FC0" w:rsidRDefault="34F6A84B" w:rsidP="005C5FC0">
      <w:pPr>
        <w:pStyle w:val="BodyBullet"/>
        <w:numPr>
          <w:ilvl w:val="0"/>
          <w:numId w:val="2"/>
        </w:numPr>
      </w:pPr>
      <w:r>
        <w:rPr>
          <w:spacing w:val="-3"/>
          <w:position w:val="8"/>
        </w:rPr>
        <w:t>4</w:t>
      </w:r>
      <w:r w:rsidR="554C790C" w:rsidRPr="572EFD56">
        <w:rPr>
          <w:b/>
          <w:bCs/>
          <w:spacing w:val="-3"/>
          <w:position w:val="8"/>
        </w:rPr>
        <w:t xml:space="preserve"> in </w:t>
      </w:r>
      <w:r w:rsidR="2654074B" w:rsidRPr="572EFD56">
        <w:rPr>
          <w:b/>
          <w:bCs/>
          <w:spacing w:val="-3"/>
          <w:position w:val="8"/>
        </w:rPr>
        <w:t>5</w:t>
      </w:r>
      <w:r w:rsidR="00D85880">
        <w:rPr>
          <w:spacing w:val="-3"/>
          <w:position w:val="8"/>
        </w:rPr>
        <w:t xml:space="preserve"> (80</w:t>
      </w:r>
      <w:r w:rsidR="554C790C">
        <w:rPr>
          <w:spacing w:val="-3"/>
          <w:position w:val="8"/>
        </w:rPr>
        <w:t xml:space="preserve">%) </w:t>
      </w:r>
      <w:r w:rsidR="005C5FC0">
        <w:rPr>
          <w:spacing w:val="-3"/>
          <w:position w:val="8"/>
        </w:rPr>
        <w:t>a</w:t>
      </w:r>
      <w:r w:rsidR="005C5FC0">
        <w:rPr>
          <w:position w:val="8"/>
        </w:rPr>
        <w:t xml:space="preserve">re worried about affording healthcare in the </w:t>
      </w:r>
      <w:proofErr w:type="gramStart"/>
      <w:r w:rsidR="005C5FC0">
        <w:rPr>
          <w:position w:val="8"/>
        </w:rPr>
        <w:t>future;</w:t>
      </w:r>
      <w:proofErr w:type="gramEnd"/>
    </w:p>
    <w:p w14:paraId="7C7809CA" w14:textId="2E2051DC" w:rsidR="005C5FC0" w:rsidRDefault="677D4C08" w:rsidP="005C5FC0">
      <w:pPr>
        <w:pStyle w:val="BodyBulletLast"/>
        <w:numPr>
          <w:ilvl w:val="0"/>
          <w:numId w:val="2"/>
        </w:numPr>
        <w:rPr>
          <w:rFonts w:asciiTheme="minorHAnsi" w:eastAsiaTheme="minorEastAsia" w:hAnsiTheme="minorHAnsi" w:cstheme="minorBidi"/>
          <w:color w:val="000000" w:themeColor="text1"/>
          <w:position w:val="8"/>
        </w:rPr>
      </w:pPr>
      <w:r>
        <w:t>Over half (</w:t>
      </w:r>
      <w:r w:rsidR="00D85880">
        <w:rPr>
          <w:b/>
          <w:bCs/>
        </w:rPr>
        <w:t>56</w:t>
      </w:r>
      <w:r w:rsidRPr="00847FD0">
        <w:rPr>
          <w:b/>
          <w:bCs/>
        </w:rPr>
        <w:t>%</w:t>
      </w:r>
      <w:r>
        <w:t>) are worried about affording treatment for COVID-19 if they need i</w:t>
      </w:r>
      <w:r w:rsidR="0045051C">
        <w:t>t; and</w:t>
      </w:r>
    </w:p>
    <w:p w14:paraId="59F8DC49" w14:textId="60C6B408" w:rsidR="005C5FC0" w:rsidRPr="005C5FC0" w:rsidRDefault="005C5FC0" w:rsidP="005C5FC0">
      <w:pPr>
        <w:pStyle w:val="BodyFirstGraph"/>
        <w:numPr>
          <w:ilvl w:val="0"/>
          <w:numId w:val="2"/>
        </w:numPr>
        <w:rPr>
          <w:rFonts w:ascii="Brandon Text Medium" w:hAnsi="Brandon Text Medium" w:cs="Brandon Text Medium"/>
          <w:spacing w:val="-2"/>
        </w:rPr>
      </w:pPr>
      <w:r>
        <w:rPr>
          <w:position w:val="8"/>
        </w:rPr>
        <w:t xml:space="preserve">Across party lines, </w:t>
      </w:r>
      <w:r w:rsidR="2D14F00B">
        <w:rPr>
          <w:position w:val="8"/>
        </w:rPr>
        <w:t xml:space="preserve">respondents </w:t>
      </w:r>
      <w:r>
        <w:rPr>
          <w:position w:val="8"/>
        </w:rPr>
        <w:t>express strong support for government-led</w:t>
      </w:r>
      <w:r w:rsidR="00EA34AE">
        <w:rPr>
          <w:spacing w:val="-32"/>
          <w:position w:val="8"/>
        </w:rPr>
        <w:t xml:space="preserve"> </w:t>
      </w:r>
      <w:r>
        <w:rPr>
          <w:position w:val="8"/>
        </w:rPr>
        <w:t>solutions.</w:t>
      </w:r>
    </w:p>
    <w:p w14:paraId="145C89D1" w14:textId="77777777" w:rsidR="005C5FC0" w:rsidRDefault="005C5FC0" w:rsidP="005C5FC0">
      <w:pPr>
        <w:pStyle w:val="BodyFirstGraph"/>
        <w:rPr>
          <w:rFonts w:ascii="Brandon Text Medium" w:hAnsi="Brandon Text Medium" w:cs="Brandon Text Medium"/>
          <w:i/>
          <w:iCs/>
          <w:spacing w:val="-2"/>
        </w:rPr>
      </w:pPr>
    </w:p>
    <w:p w14:paraId="38E680EB" w14:textId="64C5D3D5" w:rsidR="005C5FC0" w:rsidRDefault="005C5FC0" w:rsidP="005C5FC0">
      <w:pPr>
        <w:pStyle w:val="BodyFirstGraph"/>
      </w:pPr>
      <w:commentRangeStart w:id="0"/>
      <w:r w:rsidRPr="3E9D4D32">
        <w:rPr>
          <w:rFonts w:ascii="Brandon Text Medium" w:hAnsi="Brandon Text Medium" w:cs="Brandon Text Medium"/>
          <w:i/>
          <w:iCs/>
          <w:spacing w:val="-2"/>
          <w:highlight w:val="yellow"/>
        </w:rPr>
        <w:t>Survey context</w:t>
      </w:r>
      <w:commentRangeEnd w:id="0"/>
      <w:r w:rsidR="009F24F7">
        <w:rPr>
          <w:rStyle w:val="CommentReference"/>
          <w:rFonts w:asciiTheme="minorHAnsi" w:hAnsiTheme="minorHAnsi" w:cstheme="minorBidi"/>
          <w:color w:val="auto"/>
        </w:rPr>
        <w:commentReference w:id="0"/>
      </w:r>
      <w:r w:rsidRPr="00447769">
        <w:rPr>
          <w:spacing w:val="-2"/>
          <w:highlight w:val="yellow"/>
        </w:rPr>
        <w:t>: During the survey period, Connecticut residents were under a “Stay Safe, Stay at Home” Executive Order, which suspended non-essential in-person functions. Initial steps at reopening began on May 20, two days after the close of the survey period.</w:t>
      </w:r>
      <w:r w:rsidRPr="00447769">
        <w:rPr>
          <w:spacing w:val="-2"/>
          <w:highlight w:val="yellow"/>
          <w:vertAlign w:val="superscript"/>
        </w:rPr>
        <w:t xml:space="preserve">1 </w:t>
      </w:r>
      <w:r w:rsidRPr="00447769">
        <w:rPr>
          <w:spacing w:val="-2"/>
          <w:highlight w:val="yellow"/>
        </w:rPr>
        <w:t>COVID-19 new cases, hospitalizations and deaths peaked approximately two weeks prior to the beginning of the survey period. Weekly initial unemployment claims averaged 49,471 in April and 22,070 in May 2020, compared to 2,339 in May 2019.</w:t>
      </w:r>
      <w:r w:rsidRPr="00447769">
        <w:rPr>
          <w:spacing w:val="-2"/>
          <w:highlight w:val="yellow"/>
          <w:vertAlign w:val="superscript"/>
        </w:rPr>
        <w:t>2</w:t>
      </w:r>
    </w:p>
    <w:p w14:paraId="7DEC837F" w14:textId="77777777" w:rsidR="005C5FC0" w:rsidRDefault="005C5FC0" w:rsidP="005C5FC0">
      <w:pPr>
        <w:pStyle w:val="SubHead"/>
      </w:pPr>
      <w:r>
        <w:t>A Range of Healthcare Affordability Burdens</w:t>
      </w:r>
    </w:p>
    <w:p w14:paraId="757D8DF4" w14:textId="63A75737" w:rsidR="005C5FC0" w:rsidRDefault="00D85880" w:rsidP="005C5FC0">
      <w:pPr>
        <w:pStyle w:val="BodyFirstGraph"/>
      </w:pPr>
      <w:r>
        <w:t>Like many Americans, Georgia</w:t>
      </w:r>
      <w:r w:rsidR="005C5FC0">
        <w:t xml:space="preserve"> adults currently experience hardship due to high healthcare costs. All told, </w:t>
      </w:r>
      <w:r w:rsidR="00351E97">
        <w:t>almost</w:t>
      </w:r>
      <w:r w:rsidR="0B88FEEA">
        <w:t xml:space="preserve"> </w:t>
      </w:r>
      <w:r w:rsidR="00351E97">
        <w:t>7</w:t>
      </w:r>
      <w:r w:rsidR="419806F3">
        <w:t xml:space="preserve"> </w:t>
      </w:r>
      <w:r w:rsidR="419806F3" w:rsidRPr="0075193D">
        <w:t xml:space="preserve">in </w:t>
      </w:r>
      <w:r w:rsidR="00351E97">
        <w:t>10</w:t>
      </w:r>
      <w:r w:rsidR="419806F3" w:rsidRPr="0075193D">
        <w:t xml:space="preserve"> (</w:t>
      </w:r>
      <w:r w:rsidR="0026679F" w:rsidRPr="009B1C28">
        <w:rPr>
          <w:rFonts w:ascii="Brandon Text Medium" w:hAnsi="Brandon Text Medium" w:cs="Brandon Text Medium"/>
        </w:rPr>
        <w:t>6</w:t>
      </w:r>
      <w:r>
        <w:rPr>
          <w:rFonts w:ascii="Brandon Text Medium" w:hAnsi="Brandon Text Medium" w:cs="Brandon Text Medium"/>
        </w:rPr>
        <w:t>8</w:t>
      </w:r>
      <w:r w:rsidR="005C5FC0" w:rsidRPr="009B1C28">
        <w:rPr>
          <w:rFonts w:ascii="Brandon Text Medium" w:hAnsi="Brandon Text Medium" w:cs="Brandon Text Medium"/>
        </w:rPr>
        <w:t>%</w:t>
      </w:r>
      <w:r>
        <w:rPr>
          <w:rFonts w:ascii="Brandon Text Medium" w:hAnsi="Brandon Text Medium" w:cs="Brandon Text Medium"/>
        </w:rPr>
        <w:t>)</w:t>
      </w:r>
      <w:r w:rsidR="271D5F58" w:rsidRPr="0075193D">
        <w:rPr>
          <w:rFonts w:cs="Brandon Text Medium"/>
        </w:rPr>
        <w:t xml:space="preserve"> of</w:t>
      </w:r>
      <w:r>
        <w:t xml:space="preserve"> Georgia</w:t>
      </w:r>
      <w:r w:rsidR="005C5FC0">
        <w:t xml:space="preserve"> adults experienced one or more of the following healthcare affordability burdens in the prior 12 months:</w:t>
      </w:r>
      <w:r w:rsidR="005C5FC0">
        <w:rPr>
          <w:spacing w:val="-5"/>
        </w:rPr>
        <w:t xml:space="preserve"> </w:t>
      </w:r>
    </w:p>
    <w:p w14:paraId="4CB13621" w14:textId="234900BA" w:rsidR="00833797" w:rsidRDefault="00833797" w:rsidP="00833797">
      <w:pPr>
        <w:pStyle w:val="SubSubHead"/>
        <w:numPr>
          <w:ilvl w:val="0"/>
          <w:numId w:val="14"/>
        </w:numPr>
        <w:rPr>
          <w:position w:val="8"/>
        </w:rPr>
      </w:pPr>
      <w:r>
        <w:rPr>
          <w:position w:val="8"/>
        </w:rPr>
        <w:t>Being Uninsured Due to High Premium Costs</w:t>
      </w:r>
    </w:p>
    <w:p w14:paraId="4745BAA4" w14:textId="494D91A4" w:rsidR="00833797" w:rsidRDefault="77B10549" w:rsidP="009B1C28">
      <w:pPr>
        <w:pStyle w:val="BodyBulletFirst"/>
        <w:ind w:left="0" w:firstLine="0"/>
      </w:pPr>
      <w:r>
        <w:t>A</w:t>
      </w:r>
      <w:r w:rsidR="000F2914">
        <w:t xml:space="preserve">lmost </w:t>
      </w:r>
      <w:r w:rsidR="00833797">
        <w:t>half (</w:t>
      </w:r>
      <w:r w:rsidR="00833797" w:rsidRPr="572EFD56">
        <w:rPr>
          <w:rFonts w:ascii="Brandon Text Medium" w:eastAsia="Brandon Text Medium" w:hAnsi="Brandon Text Medium" w:cs="Brandon Text Medium"/>
        </w:rPr>
        <w:t>48</w:t>
      </w:r>
      <w:r w:rsidR="00833797">
        <w:t xml:space="preserve">%) of </w:t>
      </w:r>
      <w:r w:rsidR="5D28236B">
        <w:t>uninsured adults</w:t>
      </w:r>
      <w:r w:rsidR="000E0D6D">
        <w:t xml:space="preserve"> </w:t>
      </w:r>
      <w:r w:rsidR="76967399">
        <w:t>cited “too expensive” as the major reason for not having coverage, far exceeding other reasons like “don’t need it” and “don’t know how to get it.”</w:t>
      </w:r>
    </w:p>
    <w:p w14:paraId="1FF2EB19" w14:textId="00DD2F2D" w:rsidR="005C5FC0" w:rsidRDefault="005C5FC0" w:rsidP="00BF6F59">
      <w:pPr>
        <w:pStyle w:val="SubSubHead"/>
        <w:numPr>
          <w:ilvl w:val="0"/>
          <w:numId w:val="14"/>
        </w:numPr>
        <w:rPr>
          <w:position w:val="8"/>
        </w:rPr>
      </w:pPr>
      <w:r>
        <w:rPr>
          <w:position w:val="8"/>
        </w:rPr>
        <w:t>Delaying or Forgoing Healthcare Due to Cost</w:t>
      </w:r>
    </w:p>
    <w:p w14:paraId="4FC942EA" w14:textId="77777777" w:rsidR="003A2EC1" w:rsidRDefault="003A2EC1" w:rsidP="003A2EC1">
      <w:pPr>
        <w:pStyle w:val="BodyFirstGraph"/>
        <w:rPr>
          <w:position w:val="8"/>
        </w:rPr>
      </w:pPr>
      <w:r>
        <w:rPr>
          <w:position w:val="8"/>
        </w:rPr>
        <w:t>Over half (</w:t>
      </w:r>
      <w:r>
        <w:rPr>
          <w:rFonts w:ascii="Brandon Text Medium" w:hAnsi="Brandon Text Medium" w:cs="Brandon Text Medium"/>
          <w:position w:val="8"/>
        </w:rPr>
        <w:t>58%</w:t>
      </w:r>
      <w:r>
        <w:rPr>
          <w:position w:val="8"/>
        </w:rPr>
        <w:t xml:space="preserve">) of Georgia adults encountered one or more cost-related barriers to getting healthcare during the prior 12 months, including: </w:t>
      </w:r>
    </w:p>
    <w:p w14:paraId="7718E0DF" w14:textId="77777777" w:rsidR="003A2EC1" w:rsidRPr="001637AC" w:rsidRDefault="003A2EC1" w:rsidP="003A2EC1">
      <w:pPr>
        <w:pStyle w:val="BodyBullet"/>
        <w:numPr>
          <w:ilvl w:val="0"/>
          <w:numId w:val="3"/>
        </w:numPr>
      </w:pPr>
      <w:r>
        <w:rPr>
          <w:rFonts w:ascii="Brandon Text Medium" w:hAnsi="Brandon Text Medium" w:cs="Brandon Text Medium"/>
        </w:rPr>
        <w:t>38</w:t>
      </w:r>
      <w:r w:rsidRPr="001637AC">
        <w:rPr>
          <w:rFonts w:ascii="Brandon Text Medium" w:hAnsi="Brandon Text Medium" w:cs="Brandon Text Medium"/>
        </w:rPr>
        <w:t>%</w:t>
      </w:r>
      <w:r w:rsidRPr="001637AC">
        <w:t xml:space="preserve">— Cut pills in half, skipped doses of medicine or did not fill a </w:t>
      </w:r>
      <w:r>
        <w:t>prescription</w:t>
      </w:r>
      <w:r>
        <w:rPr>
          <w:vertAlign w:val="superscript"/>
        </w:rPr>
        <w:t>3</w:t>
      </w:r>
    </w:p>
    <w:p w14:paraId="1077D15D" w14:textId="77777777" w:rsidR="003A2EC1" w:rsidRDefault="003A2EC1" w:rsidP="003A2EC1">
      <w:pPr>
        <w:pStyle w:val="BodyBullet"/>
        <w:numPr>
          <w:ilvl w:val="0"/>
          <w:numId w:val="3"/>
        </w:numPr>
      </w:pPr>
      <w:r>
        <w:rPr>
          <w:rFonts w:ascii="Brandon Text Medium" w:hAnsi="Brandon Text Medium" w:cs="Brandon Text Medium"/>
        </w:rPr>
        <w:t>38%</w:t>
      </w:r>
      <w:r>
        <w:t>—Skipped a recommended medical test or treatment</w:t>
      </w:r>
    </w:p>
    <w:p w14:paraId="5FA7841F" w14:textId="77777777" w:rsidR="003A2EC1" w:rsidRDefault="003A2EC1" w:rsidP="003A2EC1">
      <w:pPr>
        <w:pStyle w:val="BodyBullet"/>
        <w:numPr>
          <w:ilvl w:val="0"/>
          <w:numId w:val="3"/>
        </w:numPr>
      </w:pPr>
      <w:r>
        <w:rPr>
          <w:rFonts w:ascii="Brandon Text Medium" w:hAnsi="Brandon Text Medium" w:cs="Brandon Text Medium"/>
        </w:rPr>
        <w:t>36%</w:t>
      </w:r>
      <w:r>
        <w:t>—Delayed going to the doctor or having a procedure done</w:t>
      </w:r>
    </w:p>
    <w:p w14:paraId="388480F7" w14:textId="77777777" w:rsidR="003A2EC1" w:rsidRDefault="003A2EC1" w:rsidP="003A2EC1">
      <w:pPr>
        <w:pStyle w:val="BodyBulletFirst"/>
        <w:numPr>
          <w:ilvl w:val="0"/>
          <w:numId w:val="3"/>
        </w:numPr>
      </w:pPr>
      <w:r>
        <w:rPr>
          <w:rFonts w:ascii="Brandon Text Medium" w:hAnsi="Brandon Text Medium" w:cs="Brandon Text Medium"/>
        </w:rPr>
        <w:t>34%</w:t>
      </w:r>
      <w:r>
        <w:t>—Skipped needed dental care</w:t>
      </w:r>
    </w:p>
    <w:p w14:paraId="4E544631" w14:textId="77777777" w:rsidR="003A2EC1" w:rsidRDefault="003A2EC1" w:rsidP="003A2EC1">
      <w:pPr>
        <w:pStyle w:val="BodyBullet"/>
        <w:numPr>
          <w:ilvl w:val="0"/>
          <w:numId w:val="3"/>
        </w:numPr>
      </w:pPr>
      <w:r>
        <w:rPr>
          <w:rFonts w:ascii="Brandon Text Medium" w:hAnsi="Brandon Text Medium" w:cs="Brandon Text Medium"/>
        </w:rPr>
        <w:t>33%</w:t>
      </w:r>
      <w:r>
        <w:t>—Avoided going to the doctor or having a procedure done altogether</w:t>
      </w:r>
    </w:p>
    <w:p w14:paraId="1215A410" w14:textId="77777777" w:rsidR="003A2EC1" w:rsidRPr="003657BA" w:rsidRDefault="003A2EC1" w:rsidP="003A2EC1">
      <w:pPr>
        <w:pStyle w:val="BodyBulletLast"/>
        <w:numPr>
          <w:ilvl w:val="0"/>
          <w:numId w:val="3"/>
        </w:numPr>
      </w:pPr>
      <w:r>
        <w:rPr>
          <w:rFonts w:ascii="Brandon Text Medium" w:hAnsi="Brandon Text Medium" w:cs="Brandon Text Medium"/>
        </w:rPr>
        <w:t>29%</w:t>
      </w:r>
      <w:r>
        <w:t>—Had problems getting mental healthcare or addiction treatment</w:t>
      </w:r>
    </w:p>
    <w:p w14:paraId="6343C09E" w14:textId="77777777" w:rsidR="003A2EC1" w:rsidRDefault="003A2EC1" w:rsidP="003A2EC1">
      <w:pPr>
        <w:pStyle w:val="BodyBulletLast"/>
        <w:ind w:left="360" w:firstLine="0"/>
      </w:pPr>
    </w:p>
    <w:p w14:paraId="39416030" w14:textId="77777777" w:rsidR="003A2EC1" w:rsidRDefault="003A2EC1" w:rsidP="003A2EC1">
      <w:pPr>
        <w:pStyle w:val="Bodyafterbullet"/>
        <w:rPr>
          <w:spacing w:val="-2"/>
          <w:position w:val="8"/>
        </w:rPr>
      </w:pPr>
      <w:r>
        <w:rPr>
          <w:spacing w:val="-5"/>
        </w:rPr>
        <w:t>Moreover, cost was by far the most frequently cited reason for not getting needed medical care, exceeding a host of other barriers like transportation, difficulty getting an appointment and lack of childcare.</w:t>
      </w:r>
      <w:r>
        <w:t xml:space="preserve"> </w:t>
      </w:r>
    </w:p>
    <w:p w14:paraId="52E5AA76" w14:textId="3FF42DC4" w:rsidR="003A2EC1" w:rsidRPr="003A2EC1" w:rsidRDefault="003A2EC1" w:rsidP="003A2EC1">
      <w:pPr>
        <w:pStyle w:val="body"/>
        <w:rPr>
          <w:spacing w:val="-5"/>
          <w:position w:val="8"/>
        </w:rPr>
      </w:pPr>
      <w:r>
        <w:rPr>
          <w:position w:val="8"/>
        </w:rPr>
        <w:t>Of the various types of medical bills, the ones most frequently associated with an affordability barrier were dental bills, doctor bills and prescription drugs, likely reflecting the frequency with which Georgia adults seek these services—or, in the case of dental, perhaps lower rates of coverage for these services.</w:t>
      </w:r>
      <w:r>
        <w:rPr>
          <w:spacing w:val="-2"/>
          <w:position w:val="8"/>
        </w:rPr>
        <w:t xml:space="preserve"> </w:t>
      </w:r>
    </w:p>
    <w:p w14:paraId="352B9D68" w14:textId="5EBC5002" w:rsidR="003A2EC1" w:rsidRDefault="003A2EC1" w:rsidP="00BF6F59">
      <w:pPr>
        <w:pStyle w:val="SubSubHead"/>
        <w:numPr>
          <w:ilvl w:val="0"/>
          <w:numId w:val="14"/>
        </w:numPr>
        <w:rPr>
          <w:position w:val="8"/>
        </w:rPr>
      </w:pPr>
      <w:r>
        <w:rPr>
          <w:position w:val="8"/>
        </w:rPr>
        <w:t>Struggling to Pay Medical Bills</w:t>
      </w:r>
    </w:p>
    <w:p w14:paraId="6782A368" w14:textId="49836B58" w:rsidR="005C5FC0" w:rsidRDefault="00A3286E" w:rsidP="005C5FC0">
      <w:pPr>
        <w:pStyle w:val="BodyFirstGraph"/>
      </w:pPr>
      <w:r>
        <w:t>Other times, Georgia</w:t>
      </w:r>
      <w:r w:rsidR="005C5FC0">
        <w:t xml:space="preserve"> adults got the care they needed but struggled to p</w:t>
      </w:r>
      <w:r>
        <w:t>ay the resulting bill. Half</w:t>
      </w:r>
      <w:r w:rsidR="00AE6323">
        <w:t xml:space="preserve"> </w:t>
      </w:r>
      <w:r w:rsidR="31E3807B" w:rsidRPr="00A3286E">
        <w:t>(</w:t>
      </w:r>
      <w:r>
        <w:rPr>
          <w:rFonts w:ascii="Brandon Text Medium" w:hAnsi="Brandon Text Medium" w:cs="Brandon Text Medium"/>
        </w:rPr>
        <w:t>50</w:t>
      </w:r>
      <w:r w:rsidR="31E3807B" w:rsidRPr="003760D8">
        <w:rPr>
          <w:rFonts w:cs="Brandon Text Medium"/>
        </w:rPr>
        <w:t>%</w:t>
      </w:r>
      <w:r w:rsidRPr="003760D8">
        <w:rPr>
          <w:rFonts w:cs="Brandon Text Medium"/>
        </w:rPr>
        <w:t>) of</w:t>
      </w:r>
      <w:r w:rsidR="31E3807B">
        <w:t xml:space="preserve"> </w:t>
      </w:r>
      <w:r w:rsidR="003452DD">
        <w:t xml:space="preserve">Georgia </w:t>
      </w:r>
      <w:r>
        <w:t>adults</w:t>
      </w:r>
      <w:r w:rsidR="005C5FC0">
        <w:rPr>
          <w:spacing w:val="2"/>
        </w:rPr>
        <w:t xml:space="preserve"> experienced one or more of these struggles to pay their medical bills:</w:t>
      </w:r>
      <w:r w:rsidR="005C5FC0">
        <w:t xml:space="preserve"> </w:t>
      </w:r>
    </w:p>
    <w:p w14:paraId="19C3BE73" w14:textId="6C9BE5F6" w:rsidR="005C5FC0" w:rsidRDefault="00CE1A9D" w:rsidP="005C5FC0">
      <w:pPr>
        <w:pStyle w:val="BodyBulletFirst"/>
        <w:numPr>
          <w:ilvl w:val="0"/>
          <w:numId w:val="4"/>
        </w:numPr>
      </w:pPr>
      <w:r>
        <w:rPr>
          <w:rFonts w:ascii="Brandon Text Medium" w:hAnsi="Brandon Text Medium" w:cs="Brandon Text Medium"/>
        </w:rPr>
        <w:t>19</w:t>
      </w:r>
      <w:r w:rsidR="005C5FC0">
        <w:rPr>
          <w:rFonts w:ascii="Brandon Text Medium" w:hAnsi="Brandon Text Medium" w:cs="Brandon Text Medium"/>
        </w:rPr>
        <w:t>%</w:t>
      </w:r>
      <w:r w:rsidR="005C5FC0">
        <w:t>—Contacted by a collection agency</w:t>
      </w:r>
    </w:p>
    <w:p w14:paraId="1C37B6B7" w14:textId="77777777" w:rsidR="00CE1A9D" w:rsidRDefault="00CE1A9D" w:rsidP="00CE1A9D">
      <w:pPr>
        <w:pStyle w:val="BodyBullet"/>
        <w:numPr>
          <w:ilvl w:val="0"/>
          <w:numId w:val="4"/>
        </w:numPr>
      </w:pPr>
      <w:r>
        <w:rPr>
          <w:rFonts w:ascii="Brandon Text Medium" w:hAnsi="Brandon Text Medium" w:cs="Brandon Text Medium"/>
        </w:rPr>
        <w:t>17%</w:t>
      </w:r>
      <w:r>
        <w:t>—Unable to pay for basic necessities like food, heat or housing</w:t>
      </w:r>
    </w:p>
    <w:p w14:paraId="056E0A50" w14:textId="71C4B881" w:rsidR="005C5FC0" w:rsidRDefault="00AE6323" w:rsidP="005C5FC0">
      <w:pPr>
        <w:pStyle w:val="BodyBullet"/>
        <w:numPr>
          <w:ilvl w:val="0"/>
          <w:numId w:val="4"/>
        </w:numPr>
      </w:pPr>
      <w:r>
        <w:rPr>
          <w:rFonts w:ascii="Brandon Text Medium" w:hAnsi="Brandon Text Medium" w:cs="Brandon Text Medium"/>
        </w:rPr>
        <w:t>1</w:t>
      </w:r>
      <w:r w:rsidR="00CE1A9D">
        <w:rPr>
          <w:rFonts w:ascii="Brandon Text Medium" w:hAnsi="Brandon Text Medium" w:cs="Brandon Text Medium"/>
        </w:rPr>
        <w:t>6</w:t>
      </w:r>
      <w:r w:rsidR="005C5FC0">
        <w:rPr>
          <w:rFonts w:ascii="Brandon Text Medium" w:hAnsi="Brandon Text Medium" w:cs="Brandon Text Medium"/>
        </w:rPr>
        <w:t>%</w:t>
      </w:r>
      <w:r w:rsidR="005C5FC0">
        <w:t xml:space="preserve">—Used up all or most of their savings </w:t>
      </w:r>
    </w:p>
    <w:p w14:paraId="2EDB46C0" w14:textId="7AFCC1C0" w:rsidR="00AE6323" w:rsidRDefault="00CE1A9D" w:rsidP="00AE6323">
      <w:pPr>
        <w:pStyle w:val="BodyBullet"/>
        <w:numPr>
          <w:ilvl w:val="0"/>
          <w:numId w:val="4"/>
        </w:numPr>
      </w:pPr>
      <w:r>
        <w:rPr>
          <w:rFonts w:ascii="Brandon Text Medium" w:hAnsi="Brandon Text Medium" w:cs="Brandon Text Medium"/>
        </w:rPr>
        <w:t>16</w:t>
      </w:r>
      <w:r w:rsidR="00AE6323">
        <w:rPr>
          <w:rFonts w:ascii="Brandon Text Medium" w:hAnsi="Brandon Text Medium" w:cs="Brandon Text Medium"/>
        </w:rPr>
        <w:t>%</w:t>
      </w:r>
      <w:r w:rsidR="00AE6323">
        <w:t>—Borrowed money, got a loan or another mortgage on their home</w:t>
      </w:r>
    </w:p>
    <w:p w14:paraId="698E4BF1" w14:textId="3C058E87" w:rsidR="005C5FC0" w:rsidRDefault="00CE1A9D" w:rsidP="005C5FC0">
      <w:pPr>
        <w:pStyle w:val="BodyBullet"/>
        <w:numPr>
          <w:ilvl w:val="0"/>
          <w:numId w:val="4"/>
        </w:numPr>
      </w:pPr>
      <w:r>
        <w:rPr>
          <w:rFonts w:ascii="Brandon Text Medium" w:hAnsi="Brandon Text Medium" w:cs="Brandon Text Medium"/>
        </w:rPr>
        <w:t>12</w:t>
      </w:r>
      <w:r w:rsidR="005C5FC0">
        <w:rPr>
          <w:rFonts w:ascii="Brandon Text Medium" w:hAnsi="Brandon Text Medium" w:cs="Brandon Text Medium"/>
        </w:rPr>
        <w:t>%</w:t>
      </w:r>
      <w:r w:rsidR="005C5FC0">
        <w:t>—Racked up large amounts of credit card debt</w:t>
      </w:r>
    </w:p>
    <w:p w14:paraId="13045530" w14:textId="33F87D89" w:rsidR="005C5FC0" w:rsidRDefault="00CE1A9D" w:rsidP="005C5FC0">
      <w:pPr>
        <w:pStyle w:val="BodyBulletLast"/>
        <w:numPr>
          <w:ilvl w:val="0"/>
          <w:numId w:val="4"/>
        </w:numPr>
        <w:rPr>
          <w:rFonts w:ascii="Brandon Text Medium" w:hAnsi="Brandon Text Medium" w:cs="Brandon Text Medium"/>
        </w:rPr>
      </w:pPr>
      <w:r>
        <w:rPr>
          <w:rFonts w:ascii="Brandon Text Medium" w:hAnsi="Brandon Text Medium" w:cs="Brandon Text Medium"/>
        </w:rPr>
        <w:t>10</w:t>
      </w:r>
      <w:r w:rsidR="005C5FC0">
        <w:rPr>
          <w:rFonts w:ascii="Brandon Text Medium" w:hAnsi="Brandon Text Medium" w:cs="Brandon Text Medium"/>
        </w:rPr>
        <w:t>%</w:t>
      </w:r>
      <w:r w:rsidR="005C5FC0">
        <w:t>—Placed on a long-term payment plan</w:t>
      </w:r>
    </w:p>
    <w:p w14:paraId="4FB12EE4" w14:textId="77777777" w:rsidR="005C5FC0" w:rsidRDefault="005C5FC0" w:rsidP="005C5FC0">
      <w:pPr>
        <w:pStyle w:val="SubHead"/>
      </w:pPr>
      <w:r>
        <w:t>High Levels of Worry About Affording Healthcare in the Future</w:t>
      </w:r>
    </w:p>
    <w:p w14:paraId="5B60B712" w14:textId="64D1971C" w:rsidR="005C5FC0" w:rsidRDefault="00CE1A9D" w:rsidP="005C5FC0">
      <w:pPr>
        <w:pStyle w:val="BodyFirstGraph"/>
      </w:pPr>
      <w:r>
        <w:t>Georgia</w:t>
      </w:r>
      <w:r w:rsidR="005C5FC0">
        <w:t xml:space="preserve"> adults also exhibit high levels of worry about affording healthcare in the future. Overall, </w:t>
      </w:r>
      <w:r w:rsidR="003E4B06">
        <w:t>4</w:t>
      </w:r>
      <w:r w:rsidR="005C5FC0">
        <w:t xml:space="preserve"> in </w:t>
      </w:r>
      <w:r w:rsidR="003E4B06">
        <w:t>5</w:t>
      </w:r>
      <w:r w:rsidR="005C5FC0">
        <w:t xml:space="preserve"> (</w:t>
      </w:r>
      <w:r>
        <w:rPr>
          <w:rFonts w:ascii="Brandon Text Medium" w:hAnsi="Brandon Text Medium" w:cs="Brandon Text Medium"/>
        </w:rPr>
        <w:t>80</w:t>
      </w:r>
      <w:r w:rsidR="005C5FC0">
        <w:t xml:space="preserve">%) report being </w:t>
      </w:r>
      <w:r w:rsidR="005C5FC0">
        <w:rPr>
          <w:rFonts w:ascii="Minion Pro" w:hAnsi="Minion Pro" w:cs="Minion Pro"/>
        </w:rPr>
        <w:t>“</w:t>
      </w:r>
      <w:r w:rsidR="005C5FC0">
        <w:t>worried</w:t>
      </w:r>
      <w:r w:rsidR="005C5FC0">
        <w:rPr>
          <w:rFonts w:ascii="Minion Pro" w:hAnsi="Minion Pro" w:cs="Minion Pro"/>
        </w:rPr>
        <w:t>”</w:t>
      </w:r>
      <w:r w:rsidR="005C5FC0">
        <w:t xml:space="preserve"> or </w:t>
      </w:r>
      <w:r w:rsidR="005C5FC0">
        <w:rPr>
          <w:rFonts w:ascii="Minion Pro" w:hAnsi="Minion Pro" w:cs="Minion Pro"/>
        </w:rPr>
        <w:t>“</w:t>
      </w:r>
      <w:r w:rsidR="005C5FC0">
        <w:t>very worried</w:t>
      </w:r>
      <w:r w:rsidR="005C5FC0">
        <w:rPr>
          <w:rFonts w:ascii="Minion Pro" w:hAnsi="Minion Pro" w:cs="Minion Pro"/>
        </w:rPr>
        <w:t>”</w:t>
      </w:r>
      <w:r w:rsidR="005C5FC0">
        <w:t xml:space="preserve"> about affording some aspect of healthcare in the future, including:</w:t>
      </w:r>
    </w:p>
    <w:p w14:paraId="6B506CAC" w14:textId="579EFBD7" w:rsidR="005C2E58" w:rsidRPr="005C2E58" w:rsidRDefault="00CE1A9D" w:rsidP="005C5FC0">
      <w:pPr>
        <w:pStyle w:val="BodyBulletFirst"/>
        <w:numPr>
          <w:ilvl w:val="0"/>
          <w:numId w:val="5"/>
        </w:numPr>
        <w:rPr>
          <w:rFonts w:asciiTheme="minorHAnsi" w:eastAsiaTheme="minorEastAsia" w:hAnsiTheme="minorHAnsi" w:cstheme="minorBidi"/>
          <w:color w:val="000000" w:themeColor="text1"/>
        </w:rPr>
      </w:pPr>
      <w:r>
        <w:rPr>
          <w:rFonts w:ascii="Brandon Text Medium" w:eastAsia="Brandon Text Medium" w:hAnsi="Brandon Text Medium" w:cs="Brandon Text Medium"/>
        </w:rPr>
        <w:t>63</w:t>
      </w:r>
      <w:r w:rsidR="005C2E58" w:rsidRPr="191F9C62">
        <w:rPr>
          <w:rFonts w:ascii="Brandon Text Medium" w:eastAsia="Brandon Text Medium" w:hAnsi="Brandon Text Medium" w:cs="Brandon Text Medium"/>
        </w:rPr>
        <w:t>%</w:t>
      </w:r>
      <w:r w:rsidR="73656066">
        <w:t>—</w:t>
      </w:r>
      <w:r w:rsidR="5F6F7512">
        <w:t xml:space="preserve">Cost of affording nursing home or home </w:t>
      </w:r>
      <w:r w:rsidR="00F15E9A">
        <w:t>care services</w:t>
      </w:r>
    </w:p>
    <w:p w14:paraId="470138C3" w14:textId="48037EC6" w:rsidR="000A1146" w:rsidRDefault="00CE1A9D" w:rsidP="005C2E58">
      <w:pPr>
        <w:pStyle w:val="BodyBullet"/>
        <w:numPr>
          <w:ilvl w:val="0"/>
          <w:numId w:val="5"/>
        </w:numPr>
      </w:pPr>
      <w:r>
        <w:rPr>
          <w:rFonts w:ascii="Brandon Text Medium" w:hAnsi="Brandon Text Medium" w:cs="Brandon Text Medium"/>
        </w:rPr>
        <w:t>63</w:t>
      </w:r>
      <w:r w:rsidR="005C5FC0">
        <w:rPr>
          <w:rFonts w:ascii="Brandon Text Medium" w:hAnsi="Brandon Text Medium" w:cs="Brandon Text Medium"/>
        </w:rPr>
        <w:t>%</w:t>
      </w:r>
      <w:r w:rsidR="005C5FC0">
        <w:t>—</w:t>
      </w:r>
      <w:r w:rsidR="005C2E58">
        <w:t>Health insurance will become too expensive</w:t>
      </w:r>
    </w:p>
    <w:p w14:paraId="38DC8E1A" w14:textId="77777777" w:rsidR="00CE1A9D" w:rsidRPr="00CE1A9D" w:rsidRDefault="00CE1A9D" w:rsidP="00CE1A9D">
      <w:pPr>
        <w:pStyle w:val="BodyBulletFirst"/>
        <w:numPr>
          <w:ilvl w:val="0"/>
          <w:numId w:val="5"/>
        </w:numPr>
      </w:pPr>
      <w:r>
        <w:rPr>
          <w:rFonts w:ascii="Brandon Text Medium" w:hAnsi="Brandon Text Medium" w:cs="Brandon Text Medium"/>
        </w:rPr>
        <w:t>62</w:t>
      </w:r>
      <w:r w:rsidR="13497AE8">
        <w:t>%—Medical costs in the event of a serious illness or accident</w:t>
      </w:r>
      <w:r w:rsidR="005C5FC0">
        <w:rPr>
          <w:spacing w:val="-4"/>
        </w:rPr>
        <w:t xml:space="preserve"> </w:t>
      </w:r>
    </w:p>
    <w:p w14:paraId="65A371B6" w14:textId="4A4E4C93" w:rsidR="00CE1A9D" w:rsidRDefault="00CE1A9D" w:rsidP="00CE1A9D">
      <w:pPr>
        <w:pStyle w:val="BodyBulletFirst"/>
        <w:numPr>
          <w:ilvl w:val="0"/>
          <w:numId w:val="5"/>
        </w:numPr>
      </w:pPr>
      <w:r>
        <w:rPr>
          <w:rFonts w:ascii="Brandon Text Medium" w:hAnsi="Brandon Text Medium" w:cs="Brandon Text Medium"/>
        </w:rPr>
        <w:t>61%</w:t>
      </w:r>
      <w:r>
        <w:t>—Medical costs when elderly</w:t>
      </w:r>
    </w:p>
    <w:p w14:paraId="28F85566" w14:textId="4E2EFA68" w:rsidR="00A35B94" w:rsidRDefault="00A35B94" w:rsidP="00CE1A9D">
      <w:pPr>
        <w:pStyle w:val="BodyBullet"/>
        <w:ind w:left="360" w:firstLine="0"/>
      </w:pPr>
    </w:p>
    <w:p w14:paraId="58232279" w14:textId="09304BD0" w:rsidR="0939CE7B" w:rsidRDefault="0939CE7B" w:rsidP="191F9C62">
      <w:pPr>
        <w:pStyle w:val="Bodyafterbullet"/>
      </w:pPr>
      <w:r w:rsidRPr="00262CF9">
        <w:t xml:space="preserve">While two </w:t>
      </w:r>
      <w:r w:rsidR="002366BF" w:rsidRPr="00262CF9">
        <w:t xml:space="preserve">of the </w:t>
      </w:r>
      <w:r w:rsidRPr="00262CF9">
        <w:t xml:space="preserve">most common worries—affording the cost of nursing home or </w:t>
      </w:r>
      <w:r w:rsidR="004E5DA9" w:rsidRPr="00262CF9">
        <w:t xml:space="preserve">home care </w:t>
      </w:r>
      <w:r w:rsidRPr="00262CF9">
        <w:t>services and medical costs when elderly</w:t>
      </w:r>
      <w:r>
        <w:t>—are applicable solely to an older population, they were most frequently reported by respondents ages 35-44, followed by respondents ages 45-54</w:t>
      </w:r>
      <w:r w:rsidR="62A9DCD1">
        <w:t xml:space="preserve">. </w:t>
      </w:r>
      <w:r>
        <w:t>This finding indicates that residents may be worried about affording the cost of care for aging parents, in addition to themselves.</w:t>
      </w:r>
    </w:p>
    <w:p w14:paraId="1A1F1F98" w14:textId="511A2F07" w:rsidR="005C5FC0" w:rsidRDefault="24F7F26C" w:rsidP="005C5FC0">
      <w:pPr>
        <w:pStyle w:val="Bodyafterbullet"/>
      </w:pPr>
      <w:r>
        <w:t xml:space="preserve">Furthermore, </w:t>
      </w:r>
      <w:r w:rsidRPr="009B1C28">
        <w:rPr>
          <w:b/>
          <w:bCs/>
        </w:rPr>
        <w:t>47%</w:t>
      </w:r>
      <w:r>
        <w:t xml:space="preserve"> of respondents of all ages are “worried” or “very worried” about losing their health insurance. </w:t>
      </w:r>
      <w:r w:rsidR="00BC434E" w:rsidRPr="009B1C28">
        <w:rPr>
          <w:rFonts w:cs="Arial"/>
          <w:spacing w:val="-4"/>
        </w:rPr>
        <w:t xml:space="preserve">These </w:t>
      </w:r>
      <w:r w:rsidR="005C5FC0" w:rsidRPr="00BC434E">
        <w:t>concerns</w:t>
      </w:r>
      <w:r w:rsidR="005C5FC0">
        <w:t xml:space="preserve"> vary by type of insurance coverage, with peopl</w:t>
      </w:r>
      <w:r w:rsidR="00FE4899">
        <w:t xml:space="preserve">e who </w:t>
      </w:r>
      <w:r w:rsidR="00F03CA5">
        <w:lastRenderedPageBreak/>
        <w:t>buy</w:t>
      </w:r>
      <w:r w:rsidR="00386C10">
        <w:t xml:space="preserve"> </w:t>
      </w:r>
      <w:r w:rsidR="00FE4899">
        <w:t xml:space="preserve">insurance </w:t>
      </w:r>
      <w:r w:rsidR="00386C10">
        <w:t>on their own</w:t>
      </w:r>
      <w:r w:rsidR="005C5FC0">
        <w:t xml:space="preserve"> and those on Medicaid being most concerned about losing their coverage. Concerns about affording health insurance exceeded fears about losing coverage across all insurance types (see Figure 1). </w:t>
      </w:r>
    </w:p>
    <w:p w14:paraId="628C9DCF" w14:textId="77777777" w:rsidR="003C2388" w:rsidRDefault="003C2388" w:rsidP="003C2388">
      <w:pPr>
        <w:rPr>
          <w:b/>
        </w:rPr>
      </w:pPr>
    </w:p>
    <w:p w14:paraId="3B7001F2" w14:textId="5307852B" w:rsidR="003C2388" w:rsidRPr="003E6878" w:rsidRDefault="003C2388" w:rsidP="357D26C1">
      <w:pPr>
        <w:rPr>
          <w:b/>
          <w:bCs/>
          <w:color w:val="FF0000"/>
        </w:rPr>
      </w:pPr>
      <w:r w:rsidRPr="357D26C1">
        <w:rPr>
          <w:b/>
          <w:bCs/>
        </w:rPr>
        <w:t>Figure 1: Worry about Health Insurance, by Coverage Type</w:t>
      </w:r>
    </w:p>
    <w:p w14:paraId="29E1185A" w14:textId="77777777" w:rsidR="003C2388" w:rsidRDefault="003C2388" w:rsidP="005C5FC0">
      <w:pPr>
        <w:pStyle w:val="Bodyafterbullet"/>
      </w:pPr>
    </w:p>
    <w:p w14:paraId="38A865D7" w14:textId="2E9FC6C6" w:rsidR="00C61F88" w:rsidRDefault="00CE1A9D" w:rsidP="005C5FC0">
      <w:pPr>
        <w:pStyle w:val="Bodyafterbullet"/>
        <w:rPr>
          <w:rFonts w:ascii="Brandon Text Black" w:hAnsi="Brandon Text Black" w:cs="Brandon Text Black"/>
          <w:smallCaps/>
          <w:color w:val="ED1C24"/>
          <w:sz w:val="28"/>
          <w:szCs w:val="28"/>
        </w:rPr>
      </w:pPr>
      <w:r>
        <w:rPr>
          <w:noProof/>
        </w:rPr>
        <w:drawing>
          <wp:inline distT="0" distB="0" distL="0" distR="0" wp14:anchorId="4299665B" wp14:editId="6A652D27">
            <wp:extent cx="5898673" cy="1945082"/>
            <wp:effectExtent l="0" t="0" r="6985" b="17145"/>
            <wp:docPr id="3" name="Chart 3">
              <a:extLst xmlns:a="http://schemas.openxmlformats.org/drawingml/2006/main">
                <a:ext uri="{FF2B5EF4-FFF2-40B4-BE49-F238E27FC236}">
                  <a16:creationId xmlns:a16="http://schemas.microsoft.com/office/drawing/2014/main" id="{616365D1-93E3-4E5B-8B51-69D6865143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761D67" w14:textId="748AFDBA" w:rsidR="00535D77" w:rsidRDefault="00535D77" w:rsidP="00535D77">
      <w:pPr>
        <w:rPr>
          <w:sz w:val="16"/>
          <w:szCs w:val="16"/>
        </w:rPr>
      </w:pPr>
      <w:r>
        <w:rPr>
          <w:sz w:val="16"/>
          <w:szCs w:val="16"/>
        </w:rPr>
        <w:t xml:space="preserve">*Note: Responses from </w:t>
      </w:r>
      <w:r w:rsidR="00CE1A9D">
        <w:rPr>
          <w:sz w:val="16"/>
          <w:szCs w:val="16"/>
        </w:rPr>
        <w:t xml:space="preserve">people </w:t>
      </w:r>
      <w:r w:rsidR="00B14298">
        <w:rPr>
          <w:sz w:val="16"/>
          <w:szCs w:val="16"/>
        </w:rPr>
        <w:t>covered by</w:t>
      </w:r>
      <w:r w:rsidR="00CE1A9D">
        <w:rPr>
          <w:sz w:val="16"/>
          <w:szCs w:val="16"/>
        </w:rPr>
        <w:t xml:space="preserve"> Georgia Medicaid</w:t>
      </w:r>
      <w:r w:rsidR="006B2798">
        <w:rPr>
          <w:sz w:val="16"/>
          <w:szCs w:val="16"/>
        </w:rPr>
        <w:t xml:space="preserve"> </w:t>
      </w:r>
      <w:r>
        <w:rPr>
          <w:sz w:val="16"/>
          <w:szCs w:val="16"/>
        </w:rPr>
        <w:t>numbered less than 100, the threshold to produce a reliable result. Use this estimate with caution.</w:t>
      </w:r>
    </w:p>
    <w:p w14:paraId="4052BB54" w14:textId="1334AEC7" w:rsidR="00535D77" w:rsidRDefault="00535D77" w:rsidP="00535D77">
      <w:pPr>
        <w:rPr>
          <w:sz w:val="16"/>
          <w:szCs w:val="16"/>
        </w:rPr>
      </w:pPr>
      <w:r>
        <w:rPr>
          <w:rFonts w:ascii="BrandonText-RegularItalic"/>
          <w:i/>
          <w:color w:val="231F20"/>
          <w:sz w:val="16"/>
        </w:rPr>
        <w:t>Source: 202</w:t>
      </w:r>
      <w:r w:rsidR="006B2798">
        <w:rPr>
          <w:rFonts w:ascii="BrandonText-RegularItalic"/>
          <w:i/>
          <w:color w:val="231F20"/>
          <w:sz w:val="16"/>
        </w:rPr>
        <w:t>1</w:t>
      </w:r>
      <w:r>
        <w:rPr>
          <w:rFonts w:ascii="BrandonText-RegularItalic"/>
          <w:i/>
          <w:color w:val="231F20"/>
          <w:sz w:val="16"/>
        </w:rPr>
        <w:t xml:space="preserve"> P</w:t>
      </w:r>
      <w:r w:rsidR="00CE1A9D">
        <w:rPr>
          <w:rFonts w:ascii="BrandonText-RegularItalic"/>
          <w:i/>
          <w:color w:val="231F20"/>
          <w:sz w:val="16"/>
        </w:rPr>
        <w:t xml:space="preserve">oll of </w:t>
      </w:r>
      <w:r w:rsidR="00E23057">
        <w:rPr>
          <w:rFonts w:ascii="BrandonText-RegularItalic"/>
          <w:i/>
          <w:color w:val="231F20"/>
          <w:sz w:val="16"/>
        </w:rPr>
        <w:t>Georgia</w:t>
      </w:r>
      <w:r>
        <w:rPr>
          <w:rFonts w:ascii="BrandonText-RegularItalic"/>
          <w:i/>
          <w:color w:val="231F20"/>
          <w:sz w:val="16"/>
        </w:rPr>
        <w:t xml:space="preserve"> Adults, Ages 18+, Altarum Healthcare Value Hub's Consumer Healthcare Experience State Survey</w:t>
      </w:r>
    </w:p>
    <w:p w14:paraId="370BCDE1" w14:textId="1D975312" w:rsidR="005C5FC0" w:rsidRDefault="005C5FC0" w:rsidP="005C5FC0">
      <w:pPr>
        <w:pStyle w:val="SubHead"/>
      </w:pPr>
      <w:r>
        <w:t>Income Differences in Healthcare Affordability Burdens</w:t>
      </w:r>
    </w:p>
    <w:p w14:paraId="42814AD1" w14:textId="69E23283" w:rsidR="003B5F90" w:rsidRDefault="005C5FC0" w:rsidP="005C5FC0">
      <w:pPr>
        <w:pStyle w:val="BodyFirstGraph"/>
      </w:pPr>
      <w:r>
        <w:rPr>
          <w:spacing w:val="-2"/>
        </w:rPr>
        <w:t>The survey also revealed incom</w:t>
      </w:r>
      <w:r w:rsidR="00FE4899">
        <w:rPr>
          <w:spacing w:val="-2"/>
        </w:rPr>
        <w:t>e differences in how Georgia</w:t>
      </w:r>
      <w:r>
        <w:rPr>
          <w:spacing w:val="-2"/>
        </w:rPr>
        <w:t xml:space="preserve"> adults experience healthcare affordability burdens.</w:t>
      </w:r>
      <w:r>
        <w:t xml:space="preserve"> </w:t>
      </w:r>
    </w:p>
    <w:p w14:paraId="7671FC42" w14:textId="570B87FA" w:rsidR="009E0019" w:rsidRDefault="005C5FC0" w:rsidP="005C5FC0">
      <w:pPr>
        <w:pStyle w:val="BodyFirstGraph"/>
      </w:pPr>
      <w:r>
        <w:t>Affordability burdens affect families quite far up the income ladder</w:t>
      </w:r>
      <w:r w:rsidR="008E1B12">
        <w:t xml:space="preserve">, </w:t>
      </w:r>
      <w:r w:rsidR="00FE4899">
        <w:t>with well over</w:t>
      </w:r>
      <w:r w:rsidR="009E0019">
        <w:t xml:space="preserve"> </w:t>
      </w:r>
      <w:r w:rsidR="4BFDDD1D">
        <w:t>half (</w:t>
      </w:r>
      <w:r w:rsidR="00FE4899">
        <w:rPr>
          <w:b/>
          <w:bCs/>
        </w:rPr>
        <w:t>56</w:t>
      </w:r>
      <w:r w:rsidR="4BFDDD1D" w:rsidRPr="009B1C28">
        <w:rPr>
          <w:b/>
          <w:bCs/>
        </w:rPr>
        <w:t>%</w:t>
      </w:r>
      <w:r w:rsidR="4BFDDD1D">
        <w:t>)</w:t>
      </w:r>
      <w:r w:rsidR="00C34A0E">
        <w:t xml:space="preserve"> of residents with household income</w:t>
      </w:r>
      <w:r w:rsidR="00980E4C">
        <w:t>s</w:t>
      </w:r>
      <w:r w:rsidR="00C34A0E">
        <w:t xml:space="preserve"> of </w:t>
      </w:r>
      <w:r w:rsidR="008A3EEA">
        <w:t xml:space="preserve">$100,000 or </w:t>
      </w:r>
      <w:r w:rsidR="00E769A2">
        <w:t>more</w:t>
      </w:r>
      <w:r w:rsidR="008A3EEA">
        <w:t xml:space="preserve"> </w:t>
      </w:r>
      <w:r w:rsidR="00980E4C">
        <w:t xml:space="preserve">struggling to afford healthcare in </w:t>
      </w:r>
      <w:r w:rsidR="00E769A2">
        <w:t xml:space="preserve">the past 12 months </w:t>
      </w:r>
      <w:r w:rsidR="00F04BB5">
        <w:t>(see Figure 2).</w:t>
      </w:r>
      <w:r w:rsidR="00E205BA">
        <w:t xml:space="preserve"> </w:t>
      </w:r>
      <w:r w:rsidR="00FE4899">
        <w:t>Georgia</w:t>
      </w:r>
      <w:r w:rsidR="00281C94">
        <w:t xml:space="preserve"> residents</w:t>
      </w:r>
      <w:r w:rsidR="00E205BA">
        <w:t xml:space="preserve"> </w:t>
      </w:r>
      <w:r w:rsidR="00E769A2">
        <w:t xml:space="preserve">earning </w:t>
      </w:r>
      <w:r w:rsidR="00E205BA">
        <w:t>less than $50,000</w:t>
      </w:r>
      <w:r w:rsidR="00B33546">
        <w:rPr>
          <w:vertAlign w:val="superscript"/>
        </w:rPr>
        <w:t>4</w:t>
      </w:r>
      <w:r w:rsidR="00E769A2">
        <w:t xml:space="preserve"> f</w:t>
      </w:r>
      <w:r w:rsidR="00261CEE">
        <w:t xml:space="preserve">ace the greatest burden, with </w:t>
      </w:r>
      <w:r w:rsidR="00FE4899">
        <w:rPr>
          <w:b/>
          <w:bCs/>
        </w:rPr>
        <w:t>77</w:t>
      </w:r>
      <w:r w:rsidR="5284F038" w:rsidRPr="009B1C28">
        <w:rPr>
          <w:b/>
          <w:bCs/>
        </w:rPr>
        <w:t>%</w:t>
      </w:r>
      <w:r w:rsidR="000A6535">
        <w:t xml:space="preserve"> </w:t>
      </w:r>
      <w:r w:rsidR="00D36689">
        <w:t>reporting affordability problems.</w:t>
      </w:r>
    </w:p>
    <w:p w14:paraId="5BE7F0FF" w14:textId="77777777" w:rsidR="00D30371" w:rsidRDefault="00D30371" w:rsidP="00D30371">
      <w:pPr>
        <w:rPr>
          <w:b/>
        </w:rPr>
      </w:pPr>
    </w:p>
    <w:p w14:paraId="427FBB58" w14:textId="39430A1E" w:rsidR="00D30371" w:rsidRPr="003E6878" w:rsidRDefault="00D30371" w:rsidP="00D30371">
      <w:pPr>
        <w:rPr>
          <w:b/>
        </w:rPr>
      </w:pPr>
      <w:r w:rsidRPr="003E6878">
        <w:rPr>
          <w:b/>
        </w:rPr>
        <w:t>Figure 2: Percent of Adults with Any Healthcare Affordability Burden in Prior 12 Months, by Income Group</w:t>
      </w:r>
    </w:p>
    <w:p w14:paraId="26B32ADA" w14:textId="2980D4B6" w:rsidR="00D30371" w:rsidRDefault="00FE4899" w:rsidP="005C5FC0">
      <w:pPr>
        <w:pStyle w:val="BodyFirstGraph"/>
      </w:pPr>
      <w:r>
        <w:rPr>
          <w:noProof/>
        </w:rPr>
        <w:drawing>
          <wp:inline distT="0" distB="0" distL="0" distR="0" wp14:anchorId="4E6D1ABD" wp14:editId="3EB1617D">
            <wp:extent cx="5533970" cy="1680805"/>
            <wp:effectExtent l="0" t="0" r="10160" b="15240"/>
            <wp:docPr id="1" name="Chart 1">
              <a:extLst xmlns:a="http://schemas.openxmlformats.org/drawingml/2006/main">
                <a:ext uri="{FF2B5EF4-FFF2-40B4-BE49-F238E27FC236}">
                  <a16:creationId xmlns:a16="http://schemas.microsoft.com/office/drawing/2014/main" id="{F52E6283-64B6-46D9-982A-B4AD39BF3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A6A4C9" w14:textId="1AE99185" w:rsidR="00B576F2" w:rsidRDefault="00155282" w:rsidP="00B576F2">
      <w:pPr>
        <w:rPr>
          <w:sz w:val="16"/>
          <w:szCs w:val="16"/>
        </w:rPr>
      </w:pPr>
      <w:r>
        <w:rPr>
          <w:rFonts w:ascii="BrandonText-RegularItalic"/>
          <w:i/>
          <w:color w:val="231F20"/>
          <w:sz w:val="16"/>
        </w:rPr>
        <w:t>Source: 2021</w:t>
      </w:r>
      <w:r w:rsidR="00B576F2">
        <w:rPr>
          <w:rFonts w:ascii="BrandonText-RegularItalic"/>
          <w:i/>
          <w:color w:val="231F20"/>
          <w:sz w:val="16"/>
        </w:rPr>
        <w:t xml:space="preserve"> Poll o</w:t>
      </w:r>
      <w:r w:rsidR="00FE4899">
        <w:rPr>
          <w:rFonts w:ascii="BrandonText-RegularItalic"/>
          <w:i/>
          <w:color w:val="231F20"/>
          <w:sz w:val="16"/>
        </w:rPr>
        <w:t>f Georgia</w:t>
      </w:r>
      <w:r w:rsidR="00B576F2">
        <w:rPr>
          <w:rFonts w:ascii="BrandonText-RegularItalic"/>
          <w:i/>
          <w:color w:val="231F20"/>
          <w:sz w:val="16"/>
        </w:rPr>
        <w:t xml:space="preserve"> Adults, Ages 18+, Altarum Healthcare Value Hub's Consumer Healthcare Experience State Survey</w:t>
      </w:r>
    </w:p>
    <w:p w14:paraId="28B58B1D" w14:textId="77777777" w:rsidR="00B576F2" w:rsidRDefault="00B576F2" w:rsidP="005C5FC0">
      <w:pPr>
        <w:pStyle w:val="BodyFirstGraph"/>
      </w:pPr>
    </w:p>
    <w:p w14:paraId="0FB4ABE1" w14:textId="12C8D647" w:rsidR="005C5FC0" w:rsidRDefault="00281C94" w:rsidP="005C5FC0">
      <w:pPr>
        <w:pStyle w:val="BodyFirstGraph"/>
      </w:pPr>
      <w:r>
        <w:lastRenderedPageBreak/>
        <w:t xml:space="preserve">People with household incomes of less than $50,000 </w:t>
      </w:r>
      <w:r w:rsidR="008E1B12">
        <w:t xml:space="preserve">also </w:t>
      </w:r>
      <w:r w:rsidR="005C5FC0">
        <w:t>report higher levels of worry</w:t>
      </w:r>
      <w:r w:rsidR="00A852B3">
        <w:t xml:space="preserve"> about affording healthcare costs in the future</w:t>
      </w:r>
      <w:r w:rsidR="005C5FC0">
        <w:t xml:space="preserve">; however, </w:t>
      </w:r>
      <w:r w:rsidR="009A394E">
        <w:t xml:space="preserve">even </w:t>
      </w:r>
      <w:r w:rsidR="00091864">
        <w:t>residents earning</w:t>
      </w:r>
      <w:r w:rsidR="00162160">
        <w:t xml:space="preserve"> more than $100</w:t>
      </w:r>
      <w:r w:rsidR="005C5FC0">
        <w:t xml:space="preserve">,000 per year </w:t>
      </w:r>
      <w:r w:rsidR="008C0855">
        <w:t xml:space="preserve">are </w:t>
      </w:r>
      <w:r w:rsidR="0097333D">
        <w:t>worr</w:t>
      </w:r>
      <w:r w:rsidR="008C0855">
        <w:t>ied</w:t>
      </w:r>
      <w:r w:rsidR="005C5FC0">
        <w:t xml:space="preserve"> about affording </w:t>
      </w:r>
      <w:r w:rsidR="003A0FCC">
        <w:t xml:space="preserve">coverage and </w:t>
      </w:r>
      <w:r w:rsidR="005C5FC0">
        <w:t xml:space="preserve">care (see Table 1). </w:t>
      </w:r>
    </w:p>
    <w:p w14:paraId="478CF9BC" w14:textId="77777777" w:rsidR="000C433A" w:rsidRDefault="000C433A" w:rsidP="005C5FC0">
      <w:pPr>
        <w:pStyle w:val="BodyFirstGraph"/>
      </w:pPr>
    </w:p>
    <w:p w14:paraId="671E9E9F" w14:textId="77777777" w:rsidR="000C433A" w:rsidRPr="003E6878" w:rsidRDefault="000C433A" w:rsidP="000C433A">
      <w:pPr>
        <w:rPr>
          <w:b/>
        </w:rPr>
      </w:pPr>
      <w:r w:rsidRPr="003E6878">
        <w:rPr>
          <w:b/>
        </w:rPr>
        <w:t>Table 1: Percent Worried or Very Worried, by Income Group</w:t>
      </w:r>
    </w:p>
    <w:tbl>
      <w:tblPr>
        <w:tblStyle w:val="ListTable4-Accent11"/>
        <w:tblW w:w="0" w:type="auto"/>
        <w:tblLook w:val="04A0" w:firstRow="1" w:lastRow="0" w:firstColumn="1" w:lastColumn="0" w:noHBand="0" w:noVBand="1"/>
      </w:tblPr>
      <w:tblGrid>
        <w:gridCol w:w="1997"/>
        <w:gridCol w:w="1856"/>
        <w:gridCol w:w="1609"/>
        <w:gridCol w:w="1856"/>
        <w:gridCol w:w="2032"/>
      </w:tblGrid>
      <w:tr w:rsidR="000C433A" w14:paraId="1BA979CE" w14:textId="77777777" w:rsidTr="191F9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14:paraId="1CB82BA8" w14:textId="703217D0" w:rsidR="000C433A" w:rsidRDefault="004A093D" w:rsidP="007D1D09">
            <w:r>
              <w:t>Worry</w:t>
            </w:r>
          </w:p>
        </w:tc>
        <w:tc>
          <w:tcPr>
            <w:tcW w:w="1856" w:type="dxa"/>
          </w:tcPr>
          <w:p w14:paraId="606F917D" w14:textId="69524C1F" w:rsidR="000C433A" w:rsidRPr="00893777" w:rsidRDefault="00162160" w:rsidP="007D1D09">
            <w:pPr>
              <w:cnfStyle w:val="100000000000" w:firstRow="1" w:lastRow="0" w:firstColumn="0" w:lastColumn="0" w:oddVBand="0" w:evenVBand="0" w:oddHBand="0" w:evenHBand="0" w:firstRowFirstColumn="0" w:firstRowLastColumn="0" w:lastRowFirstColumn="0" w:lastRowLastColumn="0"/>
              <w:rPr>
                <w:b w:val="0"/>
              </w:rPr>
            </w:pPr>
            <w:r>
              <w:rPr>
                <w:b w:val="0"/>
              </w:rPr>
              <w:t>Less Than $5</w:t>
            </w:r>
            <w:r w:rsidR="000C433A">
              <w:rPr>
                <w:b w:val="0"/>
              </w:rPr>
              <w:t>0,000</w:t>
            </w:r>
          </w:p>
        </w:tc>
        <w:tc>
          <w:tcPr>
            <w:tcW w:w="1609" w:type="dxa"/>
          </w:tcPr>
          <w:p w14:paraId="3CD22E61" w14:textId="434D2BF4" w:rsidR="00E524BA" w:rsidRDefault="00E524BA" w:rsidP="007D1D09">
            <w:pPr>
              <w:cnfStyle w:val="100000000000" w:firstRow="1" w:lastRow="0" w:firstColumn="0" w:lastColumn="0" w:oddVBand="0" w:evenVBand="0" w:oddHBand="0" w:evenHBand="0" w:firstRowFirstColumn="0" w:firstRowLastColumn="0" w:lastRowFirstColumn="0" w:lastRowLastColumn="0"/>
            </w:pPr>
            <w:r>
              <w:rPr>
                <w:b w:val="0"/>
              </w:rPr>
              <w:t>$50k - $75k</w:t>
            </w:r>
          </w:p>
        </w:tc>
        <w:tc>
          <w:tcPr>
            <w:tcW w:w="1856" w:type="dxa"/>
          </w:tcPr>
          <w:p w14:paraId="332D50DC" w14:textId="71FC699F" w:rsidR="000C433A" w:rsidRPr="00893777" w:rsidRDefault="000C433A" w:rsidP="007D1D09">
            <w:pPr>
              <w:cnfStyle w:val="100000000000" w:firstRow="1" w:lastRow="0" w:firstColumn="0" w:lastColumn="0" w:oddVBand="0" w:evenVBand="0" w:oddHBand="0" w:evenHBand="0" w:firstRowFirstColumn="0" w:firstRowLastColumn="0" w:lastRowFirstColumn="0" w:lastRowLastColumn="0"/>
              <w:rPr>
                <w:b w:val="0"/>
              </w:rPr>
            </w:pPr>
            <w:r>
              <w:rPr>
                <w:b w:val="0"/>
              </w:rPr>
              <w:t>$</w:t>
            </w:r>
            <w:r w:rsidR="00E524BA">
              <w:rPr>
                <w:b w:val="0"/>
              </w:rPr>
              <w:t>75,001</w:t>
            </w:r>
            <w:r w:rsidR="00162160">
              <w:rPr>
                <w:b w:val="0"/>
              </w:rPr>
              <w:t xml:space="preserve"> - $99</w:t>
            </w:r>
            <w:r>
              <w:rPr>
                <w:b w:val="0"/>
              </w:rPr>
              <w:t>,999</w:t>
            </w:r>
          </w:p>
        </w:tc>
        <w:tc>
          <w:tcPr>
            <w:tcW w:w="2032" w:type="dxa"/>
          </w:tcPr>
          <w:p w14:paraId="6C83E9B3" w14:textId="20A273F1" w:rsidR="000C433A" w:rsidRPr="00893777" w:rsidRDefault="00162160" w:rsidP="007D1D09">
            <w:pPr>
              <w:cnfStyle w:val="100000000000" w:firstRow="1" w:lastRow="0" w:firstColumn="0" w:lastColumn="0" w:oddVBand="0" w:evenVBand="0" w:oddHBand="0" w:evenHBand="0" w:firstRowFirstColumn="0" w:firstRowLastColumn="0" w:lastRowFirstColumn="0" w:lastRowLastColumn="0"/>
              <w:rPr>
                <w:b w:val="0"/>
              </w:rPr>
            </w:pPr>
            <w:r>
              <w:rPr>
                <w:b w:val="0"/>
              </w:rPr>
              <w:t>More Than $100</w:t>
            </w:r>
            <w:r w:rsidR="000C433A">
              <w:rPr>
                <w:b w:val="0"/>
              </w:rPr>
              <w:t>,000</w:t>
            </w:r>
          </w:p>
        </w:tc>
      </w:tr>
      <w:tr w:rsidR="191F9C62" w14:paraId="4CC19667" w14:textId="77777777" w:rsidTr="191F9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14:paraId="1C74DD58" w14:textId="77777777" w:rsidR="1924F0CE" w:rsidRDefault="1924F0CE">
            <w:pPr>
              <w:rPr>
                <w:b w:val="0"/>
                <w:bCs w:val="0"/>
              </w:rPr>
            </w:pPr>
            <w:r>
              <w:rPr>
                <w:b w:val="0"/>
                <w:bCs w:val="0"/>
              </w:rPr>
              <w:t>Any Healthcare Affordability Worry</w:t>
            </w:r>
          </w:p>
          <w:p w14:paraId="57790959" w14:textId="474E27E5" w:rsidR="191F9C62" w:rsidRDefault="191F9C62" w:rsidP="191F9C62">
            <w:pPr>
              <w:rPr>
                <w:b w:val="0"/>
                <w:bCs w:val="0"/>
              </w:rPr>
            </w:pPr>
          </w:p>
        </w:tc>
        <w:tc>
          <w:tcPr>
            <w:tcW w:w="1856" w:type="dxa"/>
          </w:tcPr>
          <w:p w14:paraId="0AFEE5F6" w14:textId="49CC14DB" w:rsidR="1924F0CE" w:rsidRDefault="005111A1" w:rsidP="191F9C62">
            <w:pPr>
              <w:jc w:val="center"/>
              <w:cnfStyle w:val="000000100000" w:firstRow="0" w:lastRow="0" w:firstColumn="0" w:lastColumn="0" w:oddVBand="0" w:evenVBand="0" w:oddHBand="1" w:evenHBand="0" w:firstRowFirstColumn="0" w:firstRowLastColumn="0" w:lastRowFirstColumn="0" w:lastRowLastColumn="0"/>
            </w:pPr>
            <w:r>
              <w:t>87</w:t>
            </w:r>
            <w:r w:rsidR="1924F0CE">
              <w:t>%</w:t>
            </w:r>
          </w:p>
        </w:tc>
        <w:tc>
          <w:tcPr>
            <w:tcW w:w="1609" w:type="dxa"/>
          </w:tcPr>
          <w:p w14:paraId="2518ED52" w14:textId="725F9FE2" w:rsidR="1924F0CE" w:rsidRDefault="005111A1" w:rsidP="191F9C62">
            <w:pPr>
              <w:jc w:val="center"/>
              <w:cnfStyle w:val="000000100000" w:firstRow="0" w:lastRow="0" w:firstColumn="0" w:lastColumn="0" w:oddVBand="0" w:evenVBand="0" w:oddHBand="1" w:evenHBand="0" w:firstRowFirstColumn="0" w:firstRowLastColumn="0" w:lastRowFirstColumn="0" w:lastRowLastColumn="0"/>
            </w:pPr>
            <w:r>
              <w:t>85</w:t>
            </w:r>
            <w:r w:rsidR="1924F0CE">
              <w:t>%</w:t>
            </w:r>
          </w:p>
          <w:p w14:paraId="59675A6C" w14:textId="5EF82F2E" w:rsidR="191F9C62" w:rsidRDefault="191F9C62" w:rsidP="191F9C62">
            <w:pPr>
              <w:jc w:val="center"/>
              <w:cnfStyle w:val="000000100000" w:firstRow="0" w:lastRow="0" w:firstColumn="0" w:lastColumn="0" w:oddVBand="0" w:evenVBand="0" w:oddHBand="1" w:evenHBand="0" w:firstRowFirstColumn="0" w:firstRowLastColumn="0" w:lastRowFirstColumn="0" w:lastRowLastColumn="0"/>
            </w:pPr>
          </w:p>
        </w:tc>
        <w:tc>
          <w:tcPr>
            <w:tcW w:w="1856" w:type="dxa"/>
          </w:tcPr>
          <w:p w14:paraId="3723A873" w14:textId="6FE5E2DF" w:rsidR="1924F0CE" w:rsidRDefault="005111A1" w:rsidP="191F9C62">
            <w:pPr>
              <w:jc w:val="center"/>
              <w:cnfStyle w:val="000000100000" w:firstRow="0" w:lastRow="0" w:firstColumn="0" w:lastColumn="0" w:oddVBand="0" w:evenVBand="0" w:oddHBand="1" w:evenHBand="0" w:firstRowFirstColumn="0" w:firstRowLastColumn="0" w:lastRowFirstColumn="0" w:lastRowLastColumn="0"/>
            </w:pPr>
            <w:r>
              <w:t>71</w:t>
            </w:r>
            <w:r w:rsidR="1924F0CE">
              <w:t>%</w:t>
            </w:r>
          </w:p>
          <w:p w14:paraId="1A22BFF4" w14:textId="52E4CB12" w:rsidR="191F9C62" w:rsidRDefault="191F9C62" w:rsidP="191F9C62">
            <w:pPr>
              <w:jc w:val="center"/>
              <w:cnfStyle w:val="000000100000" w:firstRow="0" w:lastRow="0" w:firstColumn="0" w:lastColumn="0" w:oddVBand="0" w:evenVBand="0" w:oddHBand="1" w:evenHBand="0" w:firstRowFirstColumn="0" w:firstRowLastColumn="0" w:lastRowFirstColumn="0" w:lastRowLastColumn="0"/>
            </w:pPr>
          </w:p>
        </w:tc>
        <w:tc>
          <w:tcPr>
            <w:tcW w:w="2032" w:type="dxa"/>
          </w:tcPr>
          <w:p w14:paraId="1FE33017" w14:textId="16DF58EE" w:rsidR="1924F0CE" w:rsidRDefault="005111A1" w:rsidP="191F9C62">
            <w:pPr>
              <w:jc w:val="center"/>
              <w:cnfStyle w:val="000000100000" w:firstRow="0" w:lastRow="0" w:firstColumn="0" w:lastColumn="0" w:oddVBand="0" w:evenVBand="0" w:oddHBand="1" w:evenHBand="0" w:firstRowFirstColumn="0" w:firstRowLastColumn="0" w:lastRowFirstColumn="0" w:lastRowLastColumn="0"/>
            </w:pPr>
            <w:r>
              <w:t>70</w:t>
            </w:r>
            <w:r w:rsidR="1924F0CE">
              <w:t>%</w:t>
            </w:r>
          </w:p>
          <w:p w14:paraId="1753AD6B" w14:textId="708665B7" w:rsidR="191F9C62" w:rsidRDefault="191F9C62" w:rsidP="191F9C62">
            <w:pPr>
              <w:jc w:val="center"/>
              <w:cnfStyle w:val="000000100000" w:firstRow="0" w:lastRow="0" w:firstColumn="0" w:lastColumn="0" w:oddVBand="0" w:evenVBand="0" w:oddHBand="1" w:evenHBand="0" w:firstRowFirstColumn="0" w:firstRowLastColumn="0" w:lastRowFirstColumn="0" w:lastRowLastColumn="0"/>
            </w:pPr>
          </w:p>
        </w:tc>
      </w:tr>
      <w:tr w:rsidR="005111A1" w14:paraId="4A5EEF72" w14:textId="77777777" w:rsidTr="191F9C62">
        <w:tc>
          <w:tcPr>
            <w:cnfStyle w:val="001000000000" w:firstRow="0" w:lastRow="0" w:firstColumn="1" w:lastColumn="0" w:oddVBand="0" w:evenVBand="0" w:oddHBand="0" w:evenHBand="0" w:firstRowFirstColumn="0" w:firstRowLastColumn="0" w:lastRowFirstColumn="0" w:lastRowLastColumn="0"/>
            <w:tcW w:w="1997" w:type="dxa"/>
          </w:tcPr>
          <w:p w14:paraId="3366617E" w14:textId="640C4455" w:rsidR="005111A1" w:rsidRDefault="005111A1" w:rsidP="005111A1">
            <w:pPr>
              <w:rPr>
                <w:b w:val="0"/>
              </w:rPr>
            </w:pPr>
            <w:r>
              <w:rPr>
                <w:b w:val="0"/>
              </w:rPr>
              <w:t>Affording Nursing Home or Caregiving Services</w:t>
            </w:r>
          </w:p>
        </w:tc>
        <w:tc>
          <w:tcPr>
            <w:tcW w:w="1856" w:type="dxa"/>
          </w:tcPr>
          <w:p w14:paraId="79B6E0A2" w14:textId="45A65655" w:rsidR="005111A1" w:rsidRDefault="005111A1" w:rsidP="005111A1">
            <w:pPr>
              <w:jc w:val="center"/>
              <w:cnfStyle w:val="000000000000" w:firstRow="0" w:lastRow="0" w:firstColumn="0" w:lastColumn="0" w:oddVBand="0" w:evenVBand="0" w:oddHBand="0" w:evenHBand="0" w:firstRowFirstColumn="0" w:firstRowLastColumn="0" w:lastRowFirstColumn="0" w:lastRowLastColumn="0"/>
            </w:pPr>
            <w:r>
              <w:t>71%</w:t>
            </w:r>
          </w:p>
        </w:tc>
        <w:tc>
          <w:tcPr>
            <w:tcW w:w="1609" w:type="dxa"/>
          </w:tcPr>
          <w:p w14:paraId="77D49A17" w14:textId="194AD279" w:rsidR="005111A1" w:rsidRDefault="005111A1" w:rsidP="005111A1">
            <w:pPr>
              <w:jc w:val="center"/>
              <w:cnfStyle w:val="000000000000" w:firstRow="0" w:lastRow="0" w:firstColumn="0" w:lastColumn="0" w:oddVBand="0" w:evenVBand="0" w:oddHBand="0" w:evenHBand="0" w:firstRowFirstColumn="0" w:firstRowLastColumn="0" w:lastRowFirstColumn="0" w:lastRowLastColumn="0"/>
            </w:pPr>
            <w:r>
              <w:t>67%</w:t>
            </w:r>
          </w:p>
        </w:tc>
        <w:tc>
          <w:tcPr>
            <w:tcW w:w="1856" w:type="dxa"/>
          </w:tcPr>
          <w:p w14:paraId="32284C48" w14:textId="66792C65" w:rsidR="005111A1" w:rsidRDefault="005111A1" w:rsidP="005111A1">
            <w:pPr>
              <w:jc w:val="center"/>
              <w:cnfStyle w:val="000000000000" w:firstRow="0" w:lastRow="0" w:firstColumn="0" w:lastColumn="0" w:oddVBand="0" w:evenVBand="0" w:oddHBand="0" w:evenHBand="0" w:firstRowFirstColumn="0" w:firstRowLastColumn="0" w:lastRowFirstColumn="0" w:lastRowLastColumn="0"/>
            </w:pPr>
            <w:r>
              <w:t>51%</w:t>
            </w:r>
          </w:p>
        </w:tc>
        <w:tc>
          <w:tcPr>
            <w:tcW w:w="2032" w:type="dxa"/>
          </w:tcPr>
          <w:p w14:paraId="4F033D99" w14:textId="51A9009F" w:rsidR="005111A1" w:rsidRDefault="005111A1" w:rsidP="005111A1">
            <w:pPr>
              <w:jc w:val="center"/>
              <w:cnfStyle w:val="000000000000" w:firstRow="0" w:lastRow="0" w:firstColumn="0" w:lastColumn="0" w:oddVBand="0" w:evenVBand="0" w:oddHBand="0" w:evenHBand="0" w:firstRowFirstColumn="0" w:firstRowLastColumn="0" w:lastRowFirstColumn="0" w:lastRowLastColumn="0"/>
            </w:pPr>
            <w:r>
              <w:t>53%</w:t>
            </w:r>
          </w:p>
        </w:tc>
      </w:tr>
      <w:tr w:rsidR="005111A1" w14:paraId="110914AA" w14:textId="77777777" w:rsidTr="191F9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14:paraId="4FB29E64" w14:textId="77777777" w:rsidR="005111A1" w:rsidRPr="00893777" w:rsidRDefault="005111A1" w:rsidP="005111A1">
            <w:pPr>
              <w:rPr>
                <w:b w:val="0"/>
              </w:rPr>
            </w:pPr>
            <w:r>
              <w:rPr>
                <w:b w:val="0"/>
              </w:rPr>
              <w:t>Affording the Costs of Serious Illness or Accident</w:t>
            </w:r>
          </w:p>
        </w:tc>
        <w:tc>
          <w:tcPr>
            <w:tcW w:w="1856" w:type="dxa"/>
          </w:tcPr>
          <w:p w14:paraId="127331E8" w14:textId="7B40AFD3" w:rsidR="005111A1" w:rsidRPr="00012CA7" w:rsidRDefault="005111A1" w:rsidP="005111A1">
            <w:pPr>
              <w:jc w:val="center"/>
              <w:cnfStyle w:val="000000100000" w:firstRow="0" w:lastRow="0" w:firstColumn="0" w:lastColumn="0" w:oddVBand="0" w:evenVBand="0" w:oddHBand="1" w:evenHBand="0" w:firstRowFirstColumn="0" w:firstRowLastColumn="0" w:lastRowFirstColumn="0" w:lastRowLastColumn="0"/>
            </w:pPr>
            <w:r>
              <w:t>69</w:t>
            </w:r>
            <w:r w:rsidRPr="00012CA7">
              <w:t>%</w:t>
            </w:r>
          </w:p>
        </w:tc>
        <w:tc>
          <w:tcPr>
            <w:tcW w:w="1609" w:type="dxa"/>
          </w:tcPr>
          <w:p w14:paraId="4A684465" w14:textId="157F5FBB" w:rsidR="005111A1" w:rsidRDefault="005111A1" w:rsidP="005111A1">
            <w:pPr>
              <w:jc w:val="center"/>
              <w:cnfStyle w:val="000000100000" w:firstRow="0" w:lastRow="0" w:firstColumn="0" w:lastColumn="0" w:oddVBand="0" w:evenVBand="0" w:oddHBand="1" w:evenHBand="0" w:firstRowFirstColumn="0" w:firstRowLastColumn="0" w:lastRowFirstColumn="0" w:lastRowLastColumn="0"/>
            </w:pPr>
            <w:r>
              <w:t>67%</w:t>
            </w:r>
          </w:p>
        </w:tc>
        <w:tc>
          <w:tcPr>
            <w:tcW w:w="1856" w:type="dxa"/>
          </w:tcPr>
          <w:p w14:paraId="684E4102" w14:textId="4229FDCA" w:rsidR="005111A1" w:rsidRPr="00012CA7" w:rsidRDefault="005111A1" w:rsidP="005111A1">
            <w:pPr>
              <w:jc w:val="center"/>
              <w:cnfStyle w:val="000000100000" w:firstRow="0" w:lastRow="0" w:firstColumn="0" w:lastColumn="0" w:oddVBand="0" w:evenVBand="0" w:oddHBand="1" w:evenHBand="0" w:firstRowFirstColumn="0" w:firstRowLastColumn="0" w:lastRowFirstColumn="0" w:lastRowLastColumn="0"/>
            </w:pPr>
            <w:r>
              <w:t>50</w:t>
            </w:r>
            <w:r w:rsidRPr="00012CA7">
              <w:t>%</w:t>
            </w:r>
          </w:p>
        </w:tc>
        <w:tc>
          <w:tcPr>
            <w:tcW w:w="2032" w:type="dxa"/>
          </w:tcPr>
          <w:p w14:paraId="1D20DE9E" w14:textId="47087768" w:rsidR="005111A1" w:rsidRPr="00012CA7" w:rsidRDefault="005111A1" w:rsidP="005111A1">
            <w:pPr>
              <w:jc w:val="center"/>
              <w:cnfStyle w:val="000000100000" w:firstRow="0" w:lastRow="0" w:firstColumn="0" w:lastColumn="0" w:oddVBand="0" w:evenVBand="0" w:oddHBand="1" w:evenHBand="0" w:firstRowFirstColumn="0" w:firstRowLastColumn="0" w:lastRowFirstColumn="0" w:lastRowLastColumn="0"/>
            </w:pPr>
            <w:r>
              <w:t>53</w:t>
            </w:r>
            <w:r w:rsidRPr="00012CA7">
              <w:t>%</w:t>
            </w:r>
          </w:p>
        </w:tc>
      </w:tr>
      <w:tr w:rsidR="005111A1" w14:paraId="7D29A5F3" w14:textId="77777777" w:rsidTr="191F9C62">
        <w:tc>
          <w:tcPr>
            <w:cnfStyle w:val="001000000000" w:firstRow="0" w:lastRow="0" w:firstColumn="1" w:lastColumn="0" w:oddVBand="0" w:evenVBand="0" w:oddHBand="0" w:evenHBand="0" w:firstRowFirstColumn="0" w:firstRowLastColumn="0" w:lastRowFirstColumn="0" w:lastRowLastColumn="0"/>
            <w:tcW w:w="1997" w:type="dxa"/>
          </w:tcPr>
          <w:p w14:paraId="1334C0F6" w14:textId="47F0FB08" w:rsidR="005111A1" w:rsidRDefault="005111A1" w:rsidP="005111A1">
            <w:pPr>
              <w:rPr>
                <w:b w:val="0"/>
              </w:rPr>
            </w:pPr>
            <w:r>
              <w:rPr>
                <w:b w:val="0"/>
              </w:rPr>
              <w:t>Affording Health Insurance</w:t>
            </w:r>
          </w:p>
        </w:tc>
        <w:tc>
          <w:tcPr>
            <w:tcW w:w="1856" w:type="dxa"/>
          </w:tcPr>
          <w:p w14:paraId="69DB67C5" w14:textId="1F96BE9A" w:rsidR="005111A1" w:rsidRDefault="005111A1" w:rsidP="005111A1">
            <w:pPr>
              <w:jc w:val="center"/>
              <w:cnfStyle w:val="000000000000" w:firstRow="0" w:lastRow="0" w:firstColumn="0" w:lastColumn="0" w:oddVBand="0" w:evenVBand="0" w:oddHBand="0" w:evenHBand="0" w:firstRowFirstColumn="0" w:firstRowLastColumn="0" w:lastRowFirstColumn="0" w:lastRowLastColumn="0"/>
            </w:pPr>
            <w:r>
              <w:t>67%</w:t>
            </w:r>
          </w:p>
        </w:tc>
        <w:tc>
          <w:tcPr>
            <w:tcW w:w="1609" w:type="dxa"/>
          </w:tcPr>
          <w:p w14:paraId="2128D892" w14:textId="0E4C3DED" w:rsidR="005111A1" w:rsidRDefault="005111A1" w:rsidP="005111A1">
            <w:pPr>
              <w:jc w:val="center"/>
              <w:cnfStyle w:val="000000000000" w:firstRow="0" w:lastRow="0" w:firstColumn="0" w:lastColumn="0" w:oddVBand="0" w:evenVBand="0" w:oddHBand="0" w:evenHBand="0" w:firstRowFirstColumn="0" w:firstRowLastColumn="0" w:lastRowFirstColumn="0" w:lastRowLastColumn="0"/>
            </w:pPr>
            <w:r>
              <w:t>64%</w:t>
            </w:r>
          </w:p>
        </w:tc>
        <w:tc>
          <w:tcPr>
            <w:tcW w:w="1856" w:type="dxa"/>
          </w:tcPr>
          <w:p w14:paraId="37091103" w14:textId="4D629A82" w:rsidR="005111A1" w:rsidRDefault="005111A1" w:rsidP="005111A1">
            <w:pPr>
              <w:jc w:val="center"/>
              <w:cnfStyle w:val="000000000000" w:firstRow="0" w:lastRow="0" w:firstColumn="0" w:lastColumn="0" w:oddVBand="0" w:evenVBand="0" w:oddHBand="0" w:evenHBand="0" w:firstRowFirstColumn="0" w:firstRowLastColumn="0" w:lastRowFirstColumn="0" w:lastRowLastColumn="0"/>
            </w:pPr>
            <w:r>
              <w:t>58%</w:t>
            </w:r>
          </w:p>
        </w:tc>
        <w:tc>
          <w:tcPr>
            <w:tcW w:w="2032" w:type="dxa"/>
          </w:tcPr>
          <w:p w14:paraId="71DE6DDD" w14:textId="76EAE189" w:rsidR="005111A1" w:rsidRDefault="005111A1" w:rsidP="005111A1">
            <w:pPr>
              <w:jc w:val="center"/>
              <w:cnfStyle w:val="000000000000" w:firstRow="0" w:lastRow="0" w:firstColumn="0" w:lastColumn="0" w:oddVBand="0" w:evenVBand="0" w:oddHBand="0" w:evenHBand="0" w:firstRowFirstColumn="0" w:firstRowLastColumn="0" w:lastRowFirstColumn="0" w:lastRowLastColumn="0"/>
            </w:pPr>
            <w:r>
              <w:t>56%</w:t>
            </w:r>
          </w:p>
        </w:tc>
      </w:tr>
      <w:tr w:rsidR="005111A1" w14:paraId="5983E92A" w14:textId="77777777" w:rsidTr="191F9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Pr>
          <w:p w14:paraId="246A7941" w14:textId="77777777" w:rsidR="005111A1" w:rsidRDefault="005111A1" w:rsidP="005111A1">
            <w:pPr>
              <w:rPr>
                <w:b w:val="0"/>
              </w:rPr>
            </w:pPr>
            <w:r>
              <w:rPr>
                <w:b w:val="0"/>
              </w:rPr>
              <w:t>Affording Medical Costs When Elderly</w:t>
            </w:r>
          </w:p>
        </w:tc>
        <w:tc>
          <w:tcPr>
            <w:tcW w:w="1856" w:type="dxa"/>
          </w:tcPr>
          <w:p w14:paraId="23BA6EA2" w14:textId="687D6348" w:rsidR="005111A1" w:rsidRPr="00012CA7" w:rsidRDefault="005111A1" w:rsidP="005111A1">
            <w:pPr>
              <w:jc w:val="center"/>
              <w:cnfStyle w:val="000000100000" w:firstRow="0" w:lastRow="0" w:firstColumn="0" w:lastColumn="0" w:oddVBand="0" w:evenVBand="0" w:oddHBand="1" w:evenHBand="0" w:firstRowFirstColumn="0" w:firstRowLastColumn="0" w:lastRowFirstColumn="0" w:lastRowLastColumn="0"/>
            </w:pPr>
            <w:r>
              <w:t>67</w:t>
            </w:r>
            <w:r w:rsidRPr="00012CA7">
              <w:t>%</w:t>
            </w:r>
          </w:p>
        </w:tc>
        <w:tc>
          <w:tcPr>
            <w:tcW w:w="1609" w:type="dxa"/>
          </w:tcPr>
          <w:p w14:paraId="3D7222EC" w14:textId="51A6744B" w:rsidR="005111A1" w:rsidRDefault="005111A1" w:rsidP="005111A1">
            <w:pPr>
              <w:jc w:val="center"/>
              <w:cnfStyle w:val="000000100000" w:firstRow="0" w:lastRow="0" w:firstColumn="0" w:lastColumn="0" w:oddVBand="0" w:evenVBand="0" w:oddHBand="1" w:evenHBand="0" w:firstRowFirstColumn="0" w:firstRowLastColumn="0" w:lastRowFirstColumn="0" w:lastRowLastColumn="0"/>
            </w:pPr>
            <w:r>
              <w:t>63%</w:t>
            </w:r>
          </w:p>
        </w:tc>
        <w:tc>
          <w:tcPr>
            <w:tcW w:w="1856" w:type="dxa"/>
          </w:tcPr>
          <w:p w14:paraId="42330349" w14:textId="5CB8FFB8" w:rsidR="005111A1" w:rsidRPr="00012CA7" w:rsidRDefault="005111A1" w:rsidP="005111A1">
            <w:pPr>
              <w:jc w:val="center"/>
              <w:cnfStyle w:val="000000100000" w:firstRow="0" w:lastRow="0" w:firstColumn="0" w:lastColumn="0" w:oddVBand="0" w:evenVBand="0" w:oddHBand="1" w:evenHBand="0" w:firstRowFirstColumn="0" w:firstRowLastColumn="0" w:lastRowFirstColumn="0" w:lastRowLastColumn="0"/>
            </w:pPr>
            <w:r>
              <w:t>52</w:t>
            </w:r>
            <w:r w:rsidRPr="00012CA7">
              <w:t>%</w:t>
            </w:r>
          </w:p>
        </w:tc>
        <w:tc>
          <w:tcPr>
            <w:tcW w:w="2032" w:type="dxa"/>
          </w:tcPr>
          <w:p w14:paraId="3A11D778" w14:textId="4A1DD036" w:rsidR="005111A1" w:rsidRPr="00012CA7" w:rsidRDefault="005111A1" w:rsidP="005111A1">
            <w:pPr>
              <w:jc w:val="center"/>
              <w:cnfStyle w:val="000000100000" w:firstRow="0" w:lastRow="0" w:firstColumn="0" w:lastColumn="0" w:oddVBand="0" w:evenVBand="0" w:oddHBand="1" w:evenHBand="0" w:firstRowFirstColumn="0" w:firstRowLastColumn="0" w:lastRowFirstColumn="0" w:lastRowLastColumn="0"/>
            </w:pPr>
            <w:r>
              <w:t>52</w:t>
            </w:r>
            <w:r w:rsidRPr="00012CA7">
              <w:t>%</w:t>
            </w:r>
          </w:p>
        </w:tc>
      </w:tr>
    </w:tbl>
    <w:p w14:paraId="57DDE42D" w14:textId="7A956DB0" w:rsidR="000C433A" w:rsidRDefault="00162160" w:rsidP="000C433A">
      <w:pPr>
        <w:rPr>
          <w:sz w:val="16"/>
          <w:szCs w:val="16"/>
        </w:rPr>
      </w:pPr>
      <w:r>
        <w:rPr>
          <w:rFonts w:ascii="BrandonText-RegularItalic"/>
          <w:i/>
          <w:color w:val="231F20"/>
          <w:sz w:val="16"/>
        </w:rPr>
        <w:t>S</w:t>
      </w:r>
      <w:r w:rsidR="00FE4899">
        <w:rPr>
          <w:rFonts w:ascii="BrandonText-RegularItalic"/>
          <w:i/>
          <w:color w:val="231F20"/>
          <w:sz w:val="16"/>
        </w:rPr>
        <w:t>ource: 2021 Poll of Georgia</w:t>
      </w:r>
      <w:r w:rsidR="000C433A">
        <w:rPr>
          <w:rFonts w:ascii="BrandonText-RegularItalic"/>
          <w:i/>
          <w:color w:val="231F20"/>
          <w:sz w:val="16"/>
        </w:rPr>
        <w:t xml:space="preserve"> Adults, Ages 18+, Altarum Healthcare Value Hub's Consumer Healthcare Experience State Survey</w:t>
      </w:r>
    </w:p>
    <w:p w14:paraId="001CACD2" w14:textId="77777777" w:rsidR="000C433A" w:rsidRDefault="000C433A" w:rsidP="005C5FC0">
      <w:pPr>
        <w:pStyle w:val="BodyFirstGraph"/>
      </w:pPr>
    </w:p>
    <w:p w14:paraId="39AFC52E" w14:textId="77777777" w:rsidR="00534C8A" w:rsidRDefault="00534C8A" w:rsidP="00534C8A">
      <w:pPr>
        <w:pStyle w:val="SubHead"/>
      </w:pPr>
      <w:r>
        <w:t>COVID Worries</w:t>
      </w:r>
    </w:p>
    <w:p w14:paraId="272C382D" w14:textId="53FF90C7" w:rsidR="00534C8A" w:rsidRDefault="00534C8A" w:rsidP="00534C8A">
      <w:pPr>
        <w:pStyle w:val="BodyFirstGraph"/>
      </w:pPr>
      <w:r>
        <w:t>In addition to affordabili</w:t>
      </w:r>
      <w:r w:rsidR="001E3922">
        <w:t>ty worries, Georgia</w:t>
      </w:r>
      <w:r>
        <w:t xml:space="preserve"> adults were asked about their top worries related to the COVID crisis.</w:t>
      </w:r>
      <w:r w:rsidRPr="357D26C1">
        <w:rPr>
          <w:vertAlign w:val="superscript"/>
        </w:rPr>
        <w:t>5</w:t>
      </w:r>
      <w:r>
        <w:t xml:space="preserve"> When asked about </w:t>
      </w:r>
      <w:r w:rsidRPr="023BC94C">
        <w:rPr>
          <w:rFonts w:ascii="Minion Pro" w:hAnsi="Minion Pro" w:cs="Minion Pro"/>
        </w:rPr>
        <w:t>“</w:t>
      </w:r>
      <w:r w:rsidRPr="023BC94C">
        <w:rPr>
          <w:i/>
        </w:rPr>
        <w:t>affording treatment of coronavirus/COVID-19 if you need it,</w:t>
      </w:r>
      <w:r w:rsidRPr="023BC94C">
        <w:rPr>
          <w:rFonts w:ascii="Minion Pro" w:hAnsi="Minion Pro" w:cs="Minion Pro"/>
        </w:rPr>
        <w:t>”</w:t>
      </w:r>
      <w:r>
        <w:t xml:space="preserve"> </w:t>
      </w:r>
      <w:r w:rsidR="001E3922">
        <w:rPr>
          <w:rFonts w:ascii="Brandon Text Medium" w:hAnsi="Brandon Text Medium" w:cs="Brandon Text Medium"/>
        </w:rPr>
        <w:t>56</w:t>
      </w:r>
      <w:r w:rsidRPr="023BC94C">
        <w:rPr>
          <w:rFonts w:ascii="Brandon Text Medium" w:hAnsi="Brandon Text Medium" w:cs="Brandon Text Medium"/>
        </w:rPr>
        <w:t>%</w:t>
      </w:r>
      <w:r>
        <w:t xml:space="preserve"> of respondents were somewhat worried or very worried. </w:t>
      </w:r>
    </w:p>
    <w:p w14:paraId="6673CE3E" w14:textId="4C8EB41B" w:rsidR="00534C8A" w:rsidRDefault="00534C8A" w:rsidP="00534C8A">
      <w:pPr>
        <w:pStyle w:val="BodyFirstGraph"/>
        <w:rPr>
          <w:rFonts w:cs="Minion Pro"/>
        </w:rPr>
      </w:pPr>
      <w:r>
        <w:t xml:space="preserve">Separately, out of twelve possible responses, respondents were asked to pick </w:t>
      </w:r>
      <w:r w:rsidRPr="009B1C28">
        <w:rPr>
          <w:b/>
        </w:rPr>
        <w:t>the top three</w:t>
      </w:r>
      <w:r>
        <w:t xml:space="preserve"> things they were most worried about (see Table 2). </w:t>
      </w:r>
      <w:r w:rsidRPr="357D26C1">
        <w:rPr>
          <w:rFonts w:ascii="Minion Pro" w:hAnsi="Minion Pro" w:cs="Minion Pro"/>
        </w:rPr>
        <w:t>“</w:t>
      </w:r>
      <w:r w:rsidRPr="357D26C1">
        <w:rPr>
          <w:i/>
          <w:iCs/>
        </w:rPr>
        <w:t>Becoming ill from the virus</w:t>
      </w:r>
      <w:r w:rsidRPr="357D26C1">
        <w:rPr>
          <w:rFonts w:ascii="Minion Pro" w:hAnsi="Minion Pro" w:cs="Minion Pro"/>
        </w:rPr>
        <w:t>”</w:t>
      </w:r>
      <w:r>
        <w:t xml:space="preserve"> was not </w:t>
      </w:r>
      <w:r w:rsidR="008E1B12">
        <w:t xml:space="preserve">only </w:t>
      </w:r>
      <w:r>
        <w:t xml:space="preserve">most frequently selected by respondents, but it exceeded other worries by a wide margin. </w:t>
      </w:r>
      <w:r w:rsidRPr="357D26C1">
        <w:rPr>
          <w:rFonts w:cs="Minion Pro"/>
        </w:rPr>
        <w:t>Forty-</w:t>
      </w:r>
      <w:r w:rsidR="001E3922">
        <w:rPr>
          <w:rFonts w:cs="Minion Pro"/>
        </w:rPr>
        <w:t>three</w:t>
      </w:r>
      <w:r w:rsidRPr="357D26C1">
        <w:rPr>
          <w:rFonts w:cs="Minion Pro"/>
        </w:rPr>
        <w:t xml:space="preserve"> percent of respondents selected “</w:t>
      </w:r>
      <w:r w:rsidRPr="357D26C1">
        <w:rPr>
          <w:rFonts w:cs="Minion Pro"/>
          <w:i/>
          <w:iCs/>
        </w:rPr>
        <w:t>Becoming ill from the virus</w:t>
      </w:r>
      <w:r w:rsidRPr="357D26C1">
        <w:rPr>
          <w:rFonts w:cs="Minion Pro"/>
        </w:rPr>
        <w:t>” as one of their top three concerns, while 27% of respondents selected the next most common worry, “</w:t>
      </w:r>
      <w:r w:rsidR="001E3922">
        <w:rPr>
          <w:rFonts w:cs="Minion Pro"/>
          <w:i/>
          <w:iCs/>
        </w:rPr>
        <w:t>Children missing school/</w:t>
      </w:r>
      <w:proofErr w:type="gramStart"/>
      <w:r w:rsidR="001E3922">
        <w:rPr>
          <w:rFonts w:cs="Minion Pro"/>
          <w:i/>
          <w:iCs/>
        </w:rPr>
        <w:t>child care</w:t>
      </w:r>
      <w:proofErr w:type="gramEnd"/>
      <w:r w:rsidRPr="357D26C1">
        <w:rPr>
          <w:rFonts w:cs="Minion Pro"/>
        </w:rPr>
        <w:t>,” as a top three concern.</w:t>
      </w:r>
      <w:r w:rsidR="008E1B12" w:rsidRPr="357D26C1">
        <w:rPr>
          <w:rFonts w:cs="Minion Pro"/>
        </w:rPr>
        <w:t xml:space="preserve"> </w:t>
      </w:r>
    </w:p>
    <w:p w14:paraId="2B802FAA" w14:textId="77777777" w:rsidR="00263D94" w:rsidRDefault="00263D94" w:rsidP="00534C8A">
      <w:pPr>
        <w:pStyle w:val="BodyFirstGraph"/>
        <w:rPr>
          <w:rFonts w:cs="Minion Pro"/>
        </w:rPr>
      </w:pPr>
    </w:p>
    <w:p w14:paraId="7E86CEB1" w14:textId="77777777" w:rsidR="00263D94" w:rsidRPr="00AA7487" w:rsidRDefault="00263D94" w:rsidP="00263D94">
      <w:pPr>
        <w:rPr>
          <w:b/>
        </w:rPr>
      </w:pPr>
      <w:r>
        <w:rPr>
          <w:b/>
        </w:rPr>
        <w:t>Table 2</w:t>
      </w:r>
      <w:r w:rsidRPr="00AA7487">
        <w:rPr>
          <w:b/>
        </w:rPr>
        <w:t>: Worries Related to COVID-19/Coronavirus Pandemic</w:t>
      </w:r>
    </w:p>
    <w:tbl>
      <w:tblPr>
        <w:tblStyle w:val="TableGrid"/>
        <w:tblW w:w="6475" w:type="dxa"/>
        <w:tblLook w:val="04A0" w:firstRow="1" w:lastRow="0" w:firstColumn="1" w:lastColumn="0" w:noHBand="0" w:noVBand="1"/>
      </w:tblPr>
      <w:tblGrid>
        <w:gridCol w:w="4034"/>
        <w:gridCol w:w="2441"/>
      </w:tblGrid>
      <w:tr w:rsidR="00263D94" w:rsidRPr="00766307" w14:paraId="4B23694F" w14:textId="77777777" w:rsidTr="006E549C">
        <w:trPr>
          <w:trHeight w:val="810"/>
        </w:trPr>
        <w:tc>
          <w:tcPr>
            <w:tcW w:w="4034" w:type="dxa"/>
            <w:shd w:val="clear" w:color="auto" w:fill="F2F2F2" w:themeFill="background1" w:themeFillShade="F2"/>
          </w:tcPr>
          <w:p w14:paraId="14B45576" w14:textId="77777777" w:rsidR="00263D94" w:rsidRPr="00AA7487" w:rsidRDefault="00263D94" w:rsidP="006E549C">
            <w:pPr>
              <w:rPr>
                <w:rFonts w:ascii="Calibri" w:eastAsia="Times New Roman" w:hAnsi="Calibri" w:cs="Times New Roman"/>
                <w:b/>
                <w:color w:val="000000"/>
                <w:sz w:val="24"/>
                <w:szCs w:val="24"/>
              </w:rPr>
            </w:pPr>
            <w:r w:rsidRPr="00AA7487">
              <w:rPr>
                <w:rFonts w:ascii="Calibri" w:eastAsia="Times New Roman" w:hAnsi="Calibri" w:cs="Times New Roman"/>
                <w:b/>
                <w:color w:val="000000"/>
                <w:sz w:val="24"/>
                <w:szCs w:val="24"/>
              </w:rPr>
              <w:t>Worr</w:t>
            </w:r>
            <w:r>
              <w:rPr>
                <w:rFonts w:ascii="Calibri" w:eastAsia="Times New Roman" w:hAnsi="Calibri" w:cs="Times New Roman"/>
                <w:b/>
                <w:color w:val="000000"/>
                <w:sz w:val="24"/>
                <w:szCs w:val="24"/>
              </w:rPr>
              <w:t>y</w:t>
            </w:r>
          </w:p>
        </w:tc>
        <w:tc>
          <w:tcPr>
            <w:tcW w:w="2441" w:type="dxa"/>
            <w:shd w:val="clear" w:color="auto" w:fill="F2F2F2" w:themeFill="background1" w:themeFillShade="F2"/>
          </w:tcPr>
          <w:p w14:paraId="653F5EC4" w14:textId="77777777" w:rsidR="00263D94" w:rsidRPr="00AA7487" w:rsidRDefault="00263D94" w:rsidP="006E549C">
            <w:pPr>
              <w:rPr>
                <w:rFonts w:ascii="Calibri" w:hAnsi="Calibri"/>
                <w:b/>
                <w:color w:val="000000"/>
              </w:rPr>
            </w:pPr>
            <w:r w:rsidRPr="00314BFB">
              <w:rPr>
                <w:rFonts w:ascii="Calibri" w:hAnsi="Calibri"/>
                <w:b/>
                <w:color w:val="000000"/>
              </w:rPr>
              <w:t xml:space="preserve">Percent of </w:t>
            </w:r>
            <w:r>
              <w:rPr>
                <w:rFonts w:ascii="Calibri" w:hAnsi="Calibri"/>
                <w:b/>
                <w:color w:val="000000"/>
              </w:rPr>
              <w:t>Respondents Who Selected Worry as a “Top 3” Concern</w:t>
            </w:r>
          </w:p>
        </w:tc>
      </w:tr>
      <w:tr w:rsidR="00263D94" w:rsidRPr="00766307" w14:paraId="0E069A99" w14:textId="77777777" w:rsidTr="006E549C">
        <w:trPr>
          <w:trHeight w:val="1007"/>
        </w:trPr>
        <w:tc>
          <w:tcPr>
            <w:tcW w:w="4034" w:type="dxa"/>
            <w:hideMark/>
          </w:tcPr>
          <w:p w14:paraId="288BC8F4" w14:textId="77777777" w:rsidR="00263D94" w:rsidRPr="00766307" w:rsidRDefault="00263D94" w:rsidP="006E549C">
            <w:pPr>
              <w:rPr>
                <w:rFonts w:ascii="Calibri" w:eastAsia="Times New Roman" w:hAnsi="Calibri" w:cs="Times New Roman"/>
                <w:color w:val="000000"/>
                <w:sz w:val="24"/>
                <w:szCs w:val="24"/>
              </w:rPr>
            </w:pPr>
            <w:r>
              <w:rPr>
                <w:rFonts w:ascii="Calibri" w:hAnsi="Calibri"/>
                <w:color w:val="000000"/>
              </w:rPr>
              <w:t xml:space="preserve">You or a family member becoming ill from the coronavirus </w:t>
            </w:r>
          </w:p>
        </w:tc>
        <w:tc>
          <w:tcPr>
            <w:tcW w:w="2441" w:type="dxa"/>
            <w:vAlign w:val="center"/>
          </w:tcPr>
          <w:p w14:paraId="15A8F689" w14:textId="19A03CB0" w:rsidR="00263D94" w:rsidRPr="002E407E" w:rsidRDefault="00263D94" w:rsidP="006E549C">
            <w:pPr>
              <w:jc w:val="center"/>
              <w:rPr>
                <w:rFonts w:ascii="Calibri" w:eastAsia="Times New Roman" w:hAnsi="Calibri" w:cs="Times New Roman"/>
                <w:sz w:val="24"/>
                <w:szCs w:val="24"/>
              </w:rPr>
            </w:pPr>
            <w:r w:rsidRPr="002E407E">
              <w:rPr>
                <w:rFonts w:ascii="Calibri" w:hAnsi="Calibri"/>
              </w:rPr>
              <w:t>4</w:t>
            </w:r>
            <w:r w:rsidR="00241FAF">
              <w:rPr>
                <w:rFonts w:ascii="Calibri" w:hAnsi="Calibri"/>
              </w:rPr>
              <w:t>3</w:t>
            </w:r>
            <w:r w:rsidRPr="002E407E">
              <w:rPr>
                <w:rFonts w:ascii="Calibri" w:hAnsi="Calibri"/>
              </w:rPr>
              <w:t>%</w:t>
            </w:r>
          </w:p>
        </w:tc>
      </w:tr>
      <w:tr w:rsidR="00263D94" w:rsidRPr="00766307" w14:paraId="4252157B" w14:textId="77777777" w:rsidTr="006E549C">
        <w:trPr>
          <w:trHeight w:val="656"/>
        </w:trPr>
        <w:tc>
          <w:tcPr>
            <w:tcW w:w="4034" w:type="dxa"/>
          </w:tcPr>
          <w:p w14:paraId="2E65953B" w14:textId="0A355CCC" w:rsidR="00263D94" w:rsidRDefault="001E3922" w:rsidP="006E549C">
            <w:pPr>
              <w:rPr>
                <w:rFonts w:ascii="Calibri" w:hAnsi="Calibri"/>
                <w:color w:val="000000"/>
              </w:rPr>
            </w:pPr>
            <w:r>
              <w:rPr>
                <w:rFonts w:ascii="Calibri" w:hAnsi="Calibri"/>
                <w:color w:val="000000"/>
              </w:rPr>
              <w:lastRenderedPageBreak/>
              <w:t>Children missing school/</w:t>
            </w:r>
            <w:proofErr w:type="gramStart"/>
            <w:r>
              <w:rPr>
                <w:rFonts w:ascii="Calibri" w:hAnsi="Calibri"/>
                <w:color w:val="000000"/>
              </w:rPr>
              <w:t>child care</w:t>
            </w:r>
            <w:proofErr w:type="gramEnd"/>
          </w:p>
        </w:tc>
        <w:tc>
          <w:tcPr>
            <w:tcW w:w="2441" w:type="dxa"/>
            <w:vAlign w:val="center"/>
          </w:tcPr>
          <w:p w14:paraId="0A1AD460" w14:textId="77777777" w:rsidR="00263D94" w:rsidRPr="002E407E" w:rsidRDefault="00263D94" w:rsidP="006E549C">
            <w:pPr>
              <w:jc w:val="center"/>
              <w:rPr>
                <w:rFonts w:ascii="Calibri" w:hAnsi="Calibri"/>
              </w:rPr>
            </w:pPr>
            <w:r w:rsidRPr="002E407E">
              <w:rPr>
                <w:rFonts w:ascii="Calibri" w:hAnsi="Calibri"/>
              </w:rPr>
              <w:t>27%</w:t>
            </w:r>
          </w:p>
        </w:tc>
      </w:tr>
      <w:tr w:rsidR="00263D94" w:rsidRPr="00766307" w14:paraId="602BB22D" w14:textId="77777777" w:rsidTr="006E549C">
        <w:trPr>
          <w:trHeight w:val="656"/>
        </w:trPr>
        <w:tc>
          <w:tcPr>
            <w:tcW w:w="4034" w:type="dxa"/>
          </w:tcPr>
          <w:p w14:paraId="620EE8C6" w14:textId="77777777" w:rsidR="00263D94" w:rsidRPr="00766307" w:rsidRDefault="00263D94" w:rsidP="006E549C">
            <w:pPr>
              <w:rPr>
                <w:rFonts w:ascii="Calibri" w:eastAsia="Times New Roman" w:hAnsi="Calibri" w:cs="Times New Roman"/>
                <w:color w:val="000000"/>
                <w:sz w:val="24"/>
                <w:szCs w:val="24"/>
              </w:rPr>
            </w:pPr>
            <w:r w:rsidRPr="00012CA7">
              <w:rPr>
                <w:rFonts w:ascii="Calibri" w:hAnsi="Calibri"/>
              </w:rPr>
              <w:t xml:space="preserve">Struggling with anxiety/depression/other mental health issues </w:t>
            </w:r>
          </w:p>
        </w:tc>
        <w:tc>
          <w:tcPr>
            <w:tcW w:w="2441" w:type="dxa"/>
            <w:vAlign w:val="center"/>
          </w:tcPr>
          <w:p w14:paraId="7104CCA4" w14:textId="77777777" w:rsidR="00263D94" w:rsidRPr="002E407E" w:rsidRDefault="00263D94" w:rsidP="006E549C">
            <w:pPr>
              <w:jc w:val="center"/>
              <w:rPr>
                <w:rFonts w:ascii="Calibri" w:eastAsia="Times New Roman" w:hAnsi="Calibri" w:cs="Times New Roman"/>
                <w:sz w:val="24"/>
                <w:szCs w:val="24"/>
              </w:rPr>
            </w:pPr>
            <w:r w:rsidRPr="002E407E">
              <w:rPr>
                <w:rFonts w:ascii="Calibri" w:hAnsi="Calibri"/>
              </w:rPr>
              <w:t>26%</w:t>
            </w:r>
          </w:p>
        </w:tc>
      </w:tr>
      <w:tr w:rsidR="00263D94" w:rsidRPr="00766307" w14:paraId="72045AE2" w14:textId="77777777" w:rsidTr="006E549C">
        <w:trPr>
          <w:trHeight w:val="683"/>
        </w:trPr>
        <w:tc>
          <w:tcPr>
            <w:tcW w:w="4034" w:type="dxa"/>
          </w:tcPr>
          <w:p w14:paraId="075F5945" w14:textId="77777777" w:rsidR="00263D94" w:rsidRPr="00527B73" w:rsidRDefault="00263D94" w:rsidP="006E549C">
            <w:pPr>
              <w:rPr>
                <w:rFonts w:ascii="Calibri" w:eastAsia="Times New Roman" w:hAnsi="Calibri" w:cs="Times New Roman"/>
              </w:rPr>
            </w:pPr>
            <w:r>
              <w:rPr>
                <w:rFonts w:ascii="Calibri" w:hAnsi="Calibri"/>
                <w:color w:val="000000"/>
              </w:rPr>
              <w:t xml:space="preserve">Job loss and resulting lack of wages </w:t>
            </w:r>
          </w:p>
        </w:tc>
        <w:tc>
          <w:tcPr>
            <w:tcW w:w="2441" w:type="dxa"/>
            <w:vAlign w:val="center"/>
          </w:tcPr>
          <w:p w14:paraId="6FF05546" w14:textId="77777777" w:rsidR="00263D94" w:rsidRPr="002E407E" w:rsidRDefault="00263D94" w:rsidP="006E549C">
            <w:pPr>
              <w:jc w:val="center"/>
              <w:rPr>
                <w:rFonts w:ascii="Calibri" w:eastAsia="Times New Roman" w:hAnsi="Calibri" w:cs="Times New Roman"/>
              </w:rPr>
            </w:pPr>
            <w:r w:rsidRPr="002E407E">
              <w:rPr>
                <w:rFonts w:ascii="Calibri" w:hAnsi="Calibri"/>
              </w:rPr>
              <w:t>24%</w:t>
            </w:r>
          </w:p>
        </w:tc>
      </w:tr>
      <w:tr w:rsidR="00263D94" w:rsidRPr="00766307" w14:paraId="5B194463" w14:textId="77777777" w:rsidTr="006E549C">
        <w:trPr>
          <w:trHeight w:val="702"/>
        </w:trPr>
        <w:tc>
          <w:tcPr>
            <w:tcW w:w="4034" w:type="dxa"/>
          </w:tcPr>
          <w:p w14:paraId="2C1F8511" w14:textId="7412ABD7" w:rsidR="00263D94" w:rsidRPr="00012CA7" w:rsidRDefault="001E3922" w:rsidP="006E549C">
            <w:pPr>
              <w:rPr>
                <w:rFonts w:ascii="Calibri" w:eastAsia="Times New Roman" w:hAnsi="Calibri" w:cs="Times New Roman"/>
                <w:sz w:val="24"/>
                <w:szCs w:val="24"/>
              </w:rPr>
            </w:pPr>
            <w:r>
              <w:rPr>
                <w:rFonts w:ascii="Calibri" w:hAnsi="Calibri"/>
              </w:rPr>
              <w:t>Affording treatment if someone in your family gets the coronavirus</w:t>
            </w:r>
          </w:p>
        </w:tc>
        <w:tc>
          <w:tcPr>
            <w:tcW w:w="2441" w:type="dxa"/>
            <w:vAlign w:val="center"/>
          </w:tcPr>
          <w:p w14:paraId="5040A57B" w14:textId="1B144B2B" w:rsidR="00263D94" w:rsidRPr="002E407E" w:rsidRDefault="001E3922" w:rsidP="006E549C">
            <w:pPr>
              <w:jc w:val="center"/>
              <w:rPr>
                <w:rFonts w:ascii="Calibri" w:eastAsia="Times New Roman" w:hAnsi="Calibri" w:cs="Times New Roman"/>
                <w:sz w:val="24"/>
                <w:szCs w:val="24"/>
              </w:rPr>
            </w:pPr>
            <w:r>
              <w:rPr>
                <w:rFonts w:ascii="Calibri" w:hAnsi="Calibri"/>
              </w:rPr>
              <w:t>22</w:t>
            </w:r>
            <w:r w:rsidR="00263D94" w:rsidRPr="002E407E">
              <w:rPr>
                <w:rFonts w:ascii="Calibri" w:hAnsi="Calibri"/>
              </w:rPr>
              <w:t>%</w:t>
            </w:r>
          </w:p>
        </w:tc>
      </w:tr>
      <w:tr w:rsidR="00263D94" w:rsidRPr="00766307" w14:paraId="624778C4" w14:textId="77777777" w:rsidTr="006E549C">
        <w:trPr>
          <w:trHeight w:val="809"/>
        </w:trPr>
        <w:tc>
          <w:tcPr>
            <w:tcW w:w="4034" w:type="dxa"/>
          </w:tcPr>
          <w:p w14:paraId="73616899" w14:textId="77777777" w:rsidR="00263D94" w:rsidRPr="00012CA7" w:rsidRDefault="00263D94" w:rsidP="006E549C">
            <w:pPr>
              <w:rPr>
                <w:rFonts w:ascii="Calibri" w:eastAsia="Times New Roman" w:hAnsi="Calibri" w:cs="Times New Roman"/>
                <w:sz w:val="24"/>
                <w:szCs w:val="24"/>
              </w:rPr>
            </w:pPr>
            <w:r>
              <w:rPr>
                <w:rFonts w:ascii="Calibri" w:hAnsi="Calibri"/>
              </w:rPr>
              <w:t>Inability to get treatment for other health problems</w:t>
            </w:r>
            <w:r w:rsidRPr="00012CA7">
              <w:rPr>
                <w:rFonts w:ascii="Calibri" w:hAnsi="Calibri"/>
              </w:rPr>
              <w:t xml:space="preserve"> </w:t>
            </w:r>
          </w:p>
        </w:tc>
        <w:tc>
          <w:tcPr>
            <w:tcW w:w="2441" w:type="dxa"/>
            <w:vAlign w:val="center"/>
          </w:tcPr>
          <w:p w14:paraId="7AF69F3A" w14:textId="77777777" w:rsidR="00263D94" w:rsidRPr="002E407E" w:rsidRDefault="00263D94" w:rsidP="006E549C">
            <w:pPr>
              <w:jc w:val="center"/>
              <w:rPr>
                <w:rFonts w:ascii="Calibri" w:eastAsia="Times New Roman" w:hAnsi="Calibri" w:cs="Times New Roman"/>
                <w:sz w:val="24"/>
                <w:szCs w:val="24"/>
              </w:rPr>
            </w:pPr>
            <w:r w:rsidRPr="002E407E">
              <w:rPr>
                <w:rFonts w:ascii="Calibri" w:hAnsi="Calibri"/>
              </w:rPr>
              <w:t>22%</w:t>
            </w:r>
          </w:p>
        </w:tc>
      </w:tr>
      <w:tr w:rsidR="00045CD1" w:rsidRPr="00766307" w14:paraId="0F23FD99" w14:textId="77777777" w:rsidTr="006E549C">
        <w:trPr>
          <w:trHeight w:val="809"/>
        </w:trPr>
        <w:tc>
          <w:tcPr>
            <w:tcW w:w="4034" w:type="dxa"/>
          </w:tcPr>
          <w:p w14:paraId="76A54F19" w14:textId="6C4885A5" w:rsidR="00045CD1" w:rsidRDefault="00045CD1" w:rsidP="006E549C">
            <w:pPr>
              <w:rPr>
                <w:rFonts w:ascii="Calibri" w:hAnsi="Calibri"/>
              </w:rPr>
            </w:pPr>
            <w:r>
              <w:rPr>
                <w:rFonts w:ascii="Calibri" w:hAnsi="Calibri"/>
              </w:rPr>
              <w:t>Safety at work – not getting the virus at work</w:t>
            </w:r>
          </w:p>
        </w:tc>
        <w:tc>
          <w:tcPr>
            <w:tcW w:w="2441" w:type="dxa"/>
            <w:vAlign w:val="center"/>
          </w:tcPr>
          <w:p w14:paraId="3ED8683F" w14:textId="41A19B72" w:rsidR="00045CD1" w:rsidRPr="002E407E" w:rsidRDefault="00045CD1" w:rsidP="006E549C">
            <w:pPr>
              <w:jc w:val="center"/>
              <w:rPr>
                <w:rFonts w:ascii="Calibri" w:hAnsi="Calibri"/>
              </w:rPr>
            </w:pPr>
            <w:r>
              <w:rPr>
                <w:rFonts w:ascii="Calibri" w:hAnsi="Calibri"/>
              </w:rPr>
              <w:t>22%</w:t>
            </w:r>
          </w:p>
        </w:tc>
      </w:tr>
    </w:tbl>
    <w:p w14:paraId="1AE13D5A" w14:textId="1B925299" w:rsidR="00263D94" w:rsidRPr="009B1C28" w:rsidRDefault="00263D94" w:rsidP="00534C8A">
      <w:pPr>
        <w:pStyle w:val="BodyFirstGraph"/>
        <w:rPr>
          <w:rFonts w:ascii="Minion Pro" w:hAnsi="Minion Pro" w:cs="Minion Pro"/>
        </w:rPr>
      </w:pPr>
      <w:r w:rsidRPr="0CAAA04A">
        <w:rPr>
          <w:rFonts w:ascii="BrandonText-RegularItalic"/>
          <w:i/>
          <w:color w:val="231F20"/>
          <w:sz w:val="16"/>
          <w:szCs w:val="16"/>
        </w:rPr>
        <w:t xml:space="preserve">Source: </w:t>
      </w:r>
      <w:r w:rsidR="001E3922">
        <w:rPr>
          <w:rFonts w:ascii="BrandonText-RegularItalic"/>
          <w:i/>
          <w:color w:val="231F20"/>
          <w:sz w:val="16"/>
          <w:szCs w:val="16"/>
        </w:rPr>
        <w:t>2021 Poll of Georgia</w:t>
      </w:r>
      <w:r w:rsidRPr="0CAAA04A">
        <w:rPr>
          <w:rFonts w:ascii="BrandonText-RegularItalic"/>
          <w:i/>
          <w:color w:val="231F20"/>
          <w:sz w:val="16"/>
          <w:szCs w:val="16"/>
        </w:rPr>
        <w:t xml:space="preserve"> Adults, Ages 18+, Altarum Healthcare Value Hub's Consumer Healthcare</w:t>
      </w:r>
      <w:r w:rsidR="00E06837">
        <w:rPr>
          <w:rFonts w:ascii="BrandonText-RegularItalic"/>
          <w:i/>
          <w:color w:val="231F20"/>
          <w:sz w:val="16"/>
          <w:szCs w:val="16"/>
        </w:rPr>
        <w:t xml:space="preserve"> Experience State Survey</w:t>
      </w:r>
      <w:r w:rsidRPr="0CAAA04A">
        <w:rPr>
          <w:rFonts w:ascii="BrandonText-RegularItalic"/>
          <w:i/>
          <w:color w:val="231F20"/>
          <w:sz w:val="16"/>
          <w:szCs w:val="16"/>
        </w:rPr>
        <w:t xml:space="preserve"> </w:t>
      </w:r>
    </w:p>
    <w:p w14:paraId="6B8C3D8A" w14:textId="1491B4BE" w:rsidR="00737788" w:rsidRDefault="00CE5CD7" w:rsidP="00534C8A">
      <w:pPr>
        <w:pStyle w:val="BodyFirstGraph"/>
      </w:pPr>
      <w:r>
        <w:t>In smaller number</w:t>
      </w:r>
      <w:r w:rsidR="001E3922">
        <w:t>s, Georgia</w:t>
      </w:r>
      <w:r>
        <w:t xml:space="preserve"> adults worr</w:t>
      </w:r>
      <w:r w:rsidR="00C625C8">
        <w:t>y</w:t>
      </w:r>
      <w:r>
        <w:t xml:space="preserve"> about many other issues</w:t>
      </w:r>
      <w:r w:rsidR="00737788">
        <w:t>,</w:t>
      </w:r>
      <w:r w:rsidR="001E3922">
        <w:t xml:space="preserve"> </w:t>
      </w:r>
      <w:proofErr w:type="gramStart"/>
      <w:r w:rsidR="001E3922">
        <w:t>including:</w:t>
      </w:r>
      <w:proofErr w:type="gramEnd"/>
      <w:r>
        <w:t xml:space="preserve"> </w:t>
      </w:r>
      <w:r w:rsidR="00490A39">
        <w:t>d</w:t>
      </w:r>
      <w:r>
        <w:t xml:space="preserve">ecreased value of retirement </w:t>
      </w:r>
      <w:r w:rsidRPr="002E407E">
        <w:t>savings (</w:t>
      </w:r>
      <w:r w:rsidRPr="002E407E">
        <w:rPr>
          <w:rFonts w:ascii="Brandon Text Medium" w:hAnsi="Brandon Text Medium" w:cs="Brandon Text Medium"/>
        </w:rPr>
        <w:t>20%</w:t>
      </w:r>
      <w:r w:rsidRPr="002E407E">
        <w:t>), job loss and resulting loss of health co</w:t>
      </w:r>
      <w:r w:rsidR="001E3922">
        <w:t>verage (20</w:t>
      </w:r>
      <w:r w:rsidRPr="002E407E">
        <w:rPr>
          <w:rFonts w:ascii="Brandon Text Medium" w:hAnsi="Brandon Text Medium" w:cs="Brandon Text Medium"/>
        </w:rPr>
        <w:t>%</w:t>
      </w:r>
      <w:r w:rsidRPr="002E407E">
        <w:t>), unavailability of COVID treatment if they or a family member gets sick (1</w:t>
      </w:r>
      <w:r w:rsidR="001E3922">
        <w:rPr>
          <w:rFonts w:ascii="Brandon Text Medium" w:hAnsi="Brandon Text Medium" w:cs="Brandon Text Medium"/>
        </w:rPr>
        <w:t>4</w:t>
      </w:r>
      <w:r w:rsidRPr="002E407E">
        <w:rPr>
          <w:rFonts w:ascii="Brandon Text Medium" w:hAnsi="Brandon Text Medium" w:cs="Brandon Text Medium"/>
        </w:rPr>
        <w:t>%</w:t>
      </w:r>
      <w:r w:rsidR="001E3922">
        <w:t>) and something else (16</w:t>
      </w:r>
      <w:r w:rsidRPr="002E407E">
        <w:t>%).</w:t>
      </w:r>
      <w:r>
        <w:t xml:space="preserve"> </w:t>
      </w:r>
    </w:p>
    <w:p w14:paraId="6EEDC26C" w14:textId="3248ABFC" w:rsidR="00737788" w:rsidRDefault="00737788" w:rsidP="00534C8A">
      <w:pPr>
        <w:pStyle w:val="BodyFirstGraph"/>
        <w:rPr>
          <w:rFonts w:ascii="Minion Pro" w:hAnsi="Minion Pro" w:cs="Minion Pro"/>
        </w:rPr>
      </w:pPr>
      <w:r w:rsidRPr="357D26C1">
        <w:rPr>
          <w:rFonts w:cs="Minion Pro"/>
        </w:rPr>
        <w:t>Though the increased availability of COVID-19 vaccines may have somewhat lessened worries surrounding the virus, it is important to note that over half of respondents remain somewhat or very worried.</w:t>
      </w:r>
    </w:p>
    <w:p w14:paraId="03BF25B4" w14:textId="77777777" w:rsidR="005C5FC0" w:rsidRDefault="005C5FC0" w:rsidP="005C5FC0">
      <w:pPr>
        <w:pStyle w:val="SubHead"/>
      </w:pPr>
      <w:r>
        <w:t>Dissatisfaction with the Health System and Support for Change</w:t>
      </w:r>
    </w:p>
    <w:p w14:paraId="57162B47" w14:textId="7742E360" w:rsidR="005C5FC0" w:rsidRDefault="005C5FC0" w:rsidP="005C5FC0">
      <w:pPr>
        <w:pStyle w:val="BodyFirstGraph"/>
      </w:pPr>
      <w:r>
        <w:t>In light of these healthcare affordability and COVID concerns, it is</w:t>
      </w:r>
      <w:r w:rsidR="00534C8A">
        <w:t xml:space="preserve"> not surprising tha</w:t>
      </w:r>
      <w:r w:rsidR="008546B3">
        <w:t>t Georgia</w:t>
      </w:r>
      <w:r>
        <w:t xml:space="preserve"> adults </w:t>
      </w:r>
      <w:r w:rsidR="007C756B">
        <w:t>a</w:t>
      </w:r>
      <w:r>
        <w:t xml:space="preserve">re extremely dissatisfied with the health system. Statewide: </w:t>
      </w:r>
    </w:p>
    <w:p w14:paraId="0887282D" w14:textId="77CD982A" w:rsidR="005C5FC0" w:rsidRDefault="005C5FC0" w:rsidP="005C5FC0">
      <w:pPr>
        <w:pStyle w:val="BodyBulletFirst"/>
        <w:numPr>
          <w:ilvl w:val="0"/>
          <w:numId w:val="6"/>
        </w:numPr>
      </w:pPr>
      <w:r>
        <w:rPr>
          <w:spacing w:val="-2"/>
        </w:rPr>
        <w:t xml:space="preserve">Just </w:t>
      </w:r>
      <w:r w:rsidR="001E3922">
        <w:rPr>
          <w:rFonts w:ascii="Brandon Text Medium" w:hAnsi="Brandon Text Medium" w:cs="Brandon Text Medium"/>
          <w:spacing w:val="-2"/>
        </w:rPr>
        <w:t>39</w:t>
      </w:r>
      <w:r>
        <w:rPr>
          <w:spacing w:val="-2"/>
        </w:rPr>
        <w:t xml:space="preserve">% agreed or strongly agreed that </w:t>
      </w:r>
      <w:r>
        <w:rPr>
          <w:rFonts w:ascii="Minion Pro" w:hAnsi="Minion Pro" w:cs="Minion Pro"/>
          <w:spacing w:val="-2"/>
        </w:rPr>
        <w:t>“</w:t>
      </w:r>
      <w:r>
        <w:rPr>
          <w:i/>
          <w:iCs/>
          <w:spacing w:val="-2"/>
        </w:rPr>
        <w:t>we have a great healthcare system in the U.S.</w:t>
      </w:r>
      <w:r>
        <w:rPr>
          <w:spacing w:val="-2"/>
        </w:rPr>
        <w:t>,</w:t>
      </w:r>
      <w:r>
        <w:rPr>
          <w:rFonts w:ascii="Minion Pro" w:hAnsi="Minion Pro" w:cs="Minion Pro"/>
          <w:spacing w:val="-2"/>
        </w:rPr>
        <w:t>”</w:t>
      </w:r>
    </w:p>
    <w:p w14:paraId="441CF09B" w14:textId="0434CBB5" w:rsidR="005C5FC0" w:rsidRDefault="005C5FC0" w:rsidP="005C5FC0">
      <w:pPr>
        <w:pStyle w:val="BodyBulletLast"/>
        <w:numPr>
          <w:ilvl w:val="0"/>
          <w:numId w:val="6"/>
        </w:numPr>
      </w:pPr>
      <w:r>
        <w:rPr>
          <w:spacing w:val="-5"/>
        </w:rPr>
        <w:t xml:space="preserve">While </w:t>
      </w:r>
      <w:r w:rsidR="001E3922">
        <w:rPr>
          <w:rFonts w:ascii="Brandon Text Medium" w:hAnsi="Brandon Text Medium" w:cs="Brandon Text Medium"/>
          <w:spacing w:val="-5"/>
        </w:rPr>
        <w:t>62</w:t>
      </w:r>
      <w:r>
        <w:rPr>
          <w:rFonts w:ascii="Brandon Text Medium" w:hAnsi="Brandon Text Medium" w:cs="Brandon Text Medium"/>
          <w:spacing w:val="-5"/>
        </w:rPr>
        <w:t>%</w:t>
      </w:r>
      <w:r>
        <w:rPr>
          <w:spacing w:val="-5"/>
        </w:rPr>
        <w:t xml:space="preserve"> agreed or strongly agreed that </w:t>
      </w:r>
      <w:r>
        <w:rPr>
          <w:rFonts w:ascii="Minion Pro" w:hAnsi="Minion Pro" w:cs="Minion Pro"/>
          <w:spacing w:val="-5"/>
        </w:rPr>
        <w:t>“</w:t>
      </w:r>
      <w:r>
        <w:rPr>
          <w:i/>
          <w:iCs/>
          <w:spacing w:val="-5"/>
        </w:rPr>
        <w:t>the system needs to change."</w:t>
      </w:r>
      <w:r>
        <w:t xml:space="preserve"> </w:t>
      </w:r>
    </w:p>
    <w:p w14:paraId="2547553C" w14:textId="77777777" w:rsidR="005C5FC0" w:rsidRDefault="005C5FC0" w:rsidP="005C5FC0">
      <w:pPr>
        <w:pStyle w:val="Bodyafterbullet"/>
      </w:pPr>
      <w:r>
        <w:rPr>
          <w:spacing w:val="-2"/>
        </w:rPr>
        <w:t>The survey asked about both personal and governmental actions to address health system problems.</w:t>
      </w:r>
      <w:r>
        <w:t xml:space="preserve"> </w:t>
      </w:r>
    </w:p>
    <w:p w14:paraId="3C9D99FE" w14:textId="77777777" w:rsidR="005C5FC0" w:rsidRDefault="005C5FC0" w:rsidP="005C5FC0">
      <w:pPr>
        <w:pStyle w:val="SubHead"/>
      </w:pPr>
      <w:r>
        <w:rPr>
          <w:color w:val="000000"/>
        </w:rPr>
        <w:t>Personal Actions</w:t>
      </w:r>
    </w:p>
    <w:p w14:paraId="06F20E18" w14:textId="66460938" w:rsidR="007E7D32" w:rsidRDefault="008546B3" w:rsidP="005C5FC0">
      <w:pPr>
        <w:pStyle w:val="Bodyafterbullet"/>
      </w:pPr>
      <w:r>
        <w:t>Georgia</w:t>
      </w:r>
      <w:r w:rsidR="005C5FC0">
        <w:t xml:space="preserve"> adults see a role for themselves in addressing healthcare a</w:t>
      </w:r>
      <w:r w:rsidR="00534C8A">
        <w:t xml:space="preserve">ffordability. </w:t>
      </w:r>
      <w:r w:rsidR="007E7D32">
        <w:t>Respondents reported specific actions they have already taken, like researching the cost of a drug beforehand (</w:t>
      </w:r>
      <w:r>
        <w:rPr>
          <w:rFonts w:ascii="Brandon Text Medium" w:hAnsi="Brandon Text Medium" w:cs="Brandon Text Medium"/>
        </w:rPr>
        <w:t>6</w:t>
      </w:r>
      <w:r w:rsidR="007E7D32" w:rsidRPr="357D26C1">
        <w:rPr>
          <w:rFonts w:ascii="Brandon Text Medium" w:hAnsi="Brandon Text Medium" w:cs="Brandon Text Medium"/>
        </w:rPr>
        <w:t>7%</w:t>
      </w:r>
      <w:r w:rsidR="007E7D32">
        <w:t xml:space="preserve">), as well as action they should be </w:t>
      </w:r>
      <w:proofErr w:type="gramStart"/>
      <w:r w:rsidR="007E7D32">
        <w:t>taking—</w:t>
      </w:r>
      <w:r>
        <w:rPr>
          <w:rFonts w:ascii="Brandon Text Medium" w:hAnsi="Brandon Text Medium" w:cs="Brandon Text Medium"/>
        </w:rPr>
        <w:t>69</w:t>
      </w:r>
      <w:proofErr w:type="gramEnd"/>
      <w:r w:rsidR="007E7D32">
        <w:t>% said they would switch from a brand to a</w:t>
      </w:r>
      <w:r w:rsidR="00341091">
        <w:t xml:space="preserve">n equivalent </w:t>
      </w:r>
      <w:r w:rsidR="007E7D32">
        <w:t>generic drug if given a chance.</w:t>
      </w:r>
    </w:p>
    <w:p w14:paraId="05296BC9" w14:textId="166244D2" w:rsidR="005C5FC0" w:rsidRDefault="00534C8A" w:rsidP="005C5FC0">
      <w:pPr>
        <w:pStyle w:val="Bodyafterbullet"/>
      </w:pPr>
      <w:r>
        <w:t>When asked to select</w:t>
      </w:r>
      <w:r w:rsidR="005C5FC0">
        <w:t xml:space="preserve"> the </w:t>
      </w:r>
      <w:r>
        <w:t xml:space="preserve">top </w:t>
      </w:r>
      <w:r w:rsidR="005C5FC0">
        <w:t xml:space="preserve">three personal actions that would be most effective in addressing </w:t>
      </w:r>
      <w:r w:rsidR="00AC0629">
        <w:t>healthcare</w:t>
      </w:r>
      <w:r w:rsidR="005C5FC0">
        <w:t xml:space="preserve"> affordability (out o</w:t>
      </w:r>
      <w:r>
        <w:t xml:space="preserve">f ten options), the most </w:t>
      </w:r>
      <w:r w:rsidR="00573888">
        <w:t>common responses</w:t>
      </w:r>
      <w:r w:rsidR="005C5FC0">
        <w:t xml:space="preserve"> were:</w:t>
      </w:r>
    </w:p>
    <w:p w14:paraId="2118AE93" w14:textId="408EA9D9" w:rsidR="005C5FC0" w:rsidRPr="004A2C8C" w:rsidRDefault="008546B3" w:rsidP="005C5FC0">
      <w:pPr>
        <w:pStyle w:val="BodyBulletFirst"/>
        <w:numPr>
          <w:ilvl w:val="0"/>
          <w:numId w:val="7"/>
        </w:numPr>
      </w:pPr>
      <w:r>
        <w:rPr>
          <w:rFonts w:ascii="Brandon Text Medium" w:hAnsi="Brandon Text Medium" w:cs="Brandon Text Medium"/>
        </w:rPr>
        <w:t>67</w:t>
      </w:r>
      <w:r w:rsidR="005C5FC0" w:rsidRPr="004A2C8C">
        <w:rPr>
          <w:rFonts w:ascii="Brandon Text Medium" w:hAnsi="Brandon Text Medium" w:cs="Brandon Text Medium"/>
        </w:rPr>
        <w:t>%</w:t>
      </w:r>
      <w:r w:rsidR="005C5FC0" w:rsidRPr="004A2C8C">
        <w:t>—Tak</w:t>
      </w:r>
      <w:r w:rsidR="00580C89">
        <w:t>e</w:t>
      </w:r>
      <w:r w:rsidR="005C5FC0" w:rsidRPr="004A2C8C">
        <w:t xml:space="preserve"> better care of my personal health</w:t>
      </w:r>
    </w:p>
    <w:p w14:paraId="0548E32E" w14:textId="72E0F7C8" w:rsidR="00FB00B4" w:rsidRPr="004A2C8C" w:rsidRDefault="00FB00B4" w:rsidP="00FB00B4">
      <w:pPr>
        <w:pStyle w:val="BodyBulletLast"/>
        <w:numPr>
          <w:ilvl w:val="0"/>
          <w:numId w:val="7"/>
        </w:numPr>
      </w:pPr>
      <w:r w:rsidRPr="004A2C8C">
        <w:rPr>
          <w:rFonts w:ascii="Brandon Text Medium" w:hAnsi="Brandon Text Medium" w:cs="Brandon Text Medium"/>
        </w:rPr>
        <w:lastRenderedPageBreak/>
        <w:t>3</w:t>
      </w:r>
      <w:r w:rsidR="008546B3">
        <w:rPr>
          <w:rFonts w:ascii="Brandon Text Medium" w:hAnsi="Brandon Text Medium" w:cs="Brandon Text Medium"/>
        </w:rPr>
        <w:t>8</w:t>
      </w:r>
      <w:r w:rsidRPr="004A2C8C">
        <w:rPr>
          <w:rFonts w:ascii="Brandon Text Medium" w:hAnsi="Brandon Text Medium" w:cs="Brandon Text Medium"/>
        </w:rPr>
        <w:t>%</w:t>
      </w:r>
      <w:r w:rsidRPr="004A2C8C">
        <w:t xml:space="preserve">—Research treatments </w:t>
      </w:r>
      <w:proofErr w:type="gramStart"/>
      <w:r w:rsidRPr="004A2C8C">
        <w:t>myself</w:t>
      </w:r>
      <w:proofErr w:type="gramEnd"/>
      <w:r w:rsidRPr="004A2C8C">
        <w:t>, before going to the doctor</w:t>
      </w:r>
    </w:p>
    <w:p w14:paraId="29498ADB" w14:textId="43CC7E70" w:rsidR="005C5FC0" w:rsidRDefault="00FB00B4" w:rsidP="008546B3">
      <w:pPr>
        <w:pStyle w:val="BodyBullet"/>
        <w:numPr>
          <w:ilvl w:val="0"/>
          <w:numId w:val="7"/>
        </w:numPr>
      </w:pPr>
      <w:r w:rsidRPr="004A2C8C">
        <w:rPr>
          <w:rFonts w:ascii="Brandon Text Medium" w:hAnsi="Brandon Text Medium" w:cs="Brandon Text Medium"/>
        </w:rPr>
        <w:t>35</w:t>
      </w:r>
      <w:r w:rsidR="005C5FC0" w:rsidRPr="004A2C8C">
        <w:rPr>
          <w:rFonts w:ascii="Brandon Text Medium" w:hAnsi="Brandon Text Medium" w:cs="Brandon Text Medium"/>
        </w:rPr>
        <w:t>%</w:t>
      </w:r>
      <w:r w:rsidR="005C5FC0" w:rsidRPr="004A2C8C">
        <w:t>—</w:t>
      </w:r>
      <w:r w:rsidR="008546B3">
        <w:t>Do more to compare doctors on cost and quality before getting services</w:t>
      </w:r>
    </w:p>
    <w:p w14:paraId="7F4F5A39" w14:textId="77777777" w:rsidR="005C5FC0" w:rsidRDefault="005C5FC0" w:rsidP="005C5FC0">
      <w:pPr>
        <w:pStyle w:val="SubHead"/>
      </w:pPr>
      <w:r>
        <w:rPr>
          <w:color w:val="000000"/>
        </w:rPr>
        <w:t>Government Actions</w:t>
      </w:r>
    </w:p>
    <w:p w14:paraId="224547A0" w14:textId="568CEF76" w:rsidR="005C5FC0" w:rsidRDefault="008546B3" w:rsidP="005C5FC0">
      <w:pPr>
        <w:pStyle w:val="BodyFirstGraph"/>
      </w:pPr>
      <w:r>
        <w:t>But far and away, Georgia</w:t>
      </w:r>
      <w:r w:rsidR="005C5FC0">
        <w:t xml:space="preserve"> residents see government as the key stakeholder that needs to act to address hea</w:t>
      </w:r>
      <w:r w:rsidR="00FB00B4">
        <w:t xml:space="preserve">lth system problems. </w:t>
      </w:r>
      <w:r w:rsidR="00EC433D">
        <w:t>Moreover, a</w:t>
      </w:r>
      <w:r w:rsidR="005C5FC0">
        <w:t xml:space="preserve">ddressing healthcare problems </w:t>
      </w:r>
      <w:r w:rsidR="38088387">
        <w:t>is</w:t>
      </w:r>
      <w:r w:rsidR="009B1C28">
        <w:t xml:space="preserve"> </w:t>
      </w:r>
      <w:r w:rsidR="00EE0748">
        <w:t>a top priority</w:t>
      </w:r>
      <w:r w:rsidR="00FB00B4">
        <w:t xml:space="preserve"> </w:t>
      </w:r>
      <w:r w:rsidR="005C5FC0">
        <w:t xml:space="preserve">that </w:t>
      </w:r>
      <w:r>
        <w:t>Georgia</w:t>
      </w:r>
      <w:r w:rsidR="005C5FC0">
        <w:t xml:space="preserve"> residents want their elected representatives to work on. </w:t>
      </w:r>
    </w:p>
    <w:p w14:paraId="56D995F9" w14:textId="77777777" w:rsidR="005C5FC0" w:rsidRDefault="005C5FC0" w:rsidP="005C5FC0">
      <w:pPr>
        <w:pStyle w:val="body"/>
      </w:pPr>
      <w:r>
        <w:t>At the beginning of the survey, respondents were asked what issues the government should address in the upcoming year. The top vote getters were:</w:t>
      </w:r>
    </w:p>
    <w:p w14:paraId="745B4AEB" w14:textId="04A8669E" w:rsidR="005C5FC0" w:rsidRDefault="00FB00B4" w:rsidP="005C5FC0">
      <w:pPr>
        <w:pStyle w:val="BodyBulletFirst"/>
        <w:numPr>
          <w:ilvl w:val="0"/>
          <w:numId w:val="8"/>
        </w:numPr>
      </w:pPr>
      <w:r>
        <w:rPr>
          <w:rFonts w:ascii="Brandon Text Medium" w:hAnsi="Brandon Text Medium" w:cs="Brandon Text Medium"/>
        </w:rPr>
        <w:t>56</w:t>
      </w:r>
      <w:r w:rsidR="005C5FC0">
        <w:rPr>
          <w:rFonts w:ascii="Brandon Text Medium" w:hAnsi="Brandon Text Medium" w:cs="Brandon Text Medium"/>
        </w:rPr>
        <w:t>%</w:t>
      </w:r>
      <w:r w:rsidR="005C5FC0">
        <w:t>—Healthcare</w:t>
      </w:r>
    </w:p>
    <w:p w14:paraId="6D5614ED" w14:textId="270FB166" w:rsidR="005C5FC0" w:rsidRDefault="008546B3" w:rsidP="005C5FC0">
      <w:pPr>
        <w:pStyle w:val="BodyBullet"/>
        <w:numPr>
          <w:ilvl w:val="0"/>
          <w:numId w:val="8"/>
        </w:numPr>
      </w:pPr>
      <w:r>
        <w:rPr>
          <w:rFonts w:ascii="Brandon Text Medium" w:hAnsi="Brandon Text Medium" w:cs="Brandon Text Medium"/>
        </w:rPr>
        <w:t>51</w:t>
      </w:r>
      <w:r w:rsidR="005C5FC0">
        <w:rPr>
          <w:rFonts w:ascii="Brandon Text Medium" w:hAnsi="Brandon Text Medium" w:cs="Brandon Text Medium"/>
        </w:rPr>
        <w:t>%</w:t>
      </w:r>
      <w:r w:rsidR="005C5FC0">
        <w:t>—Economy/Joblessness</w:t>
      </w:r>
    </w:p>
    <w:p w14:paraId="1A6DB62C" w14:textId="1A48D3C7" w:rsidR="005C5FC0" w:rsidRDefault="008546B3" w:rsidP="005C5FC0">
      <w:pPr>
        <w:pStyle w:val="BodyBulletLast"/>
        <w:numPr>
          <w:ilvl w:val="0"/>
          <w:numId w:val="8"/>
        </w:numPr>
      </w:pPr>
      <w:r>
        <w:rPr>
          <w:rFonts w:ascii="Brandon Text Medium" w:hAnsi="Brandon Text Medium" w:cs="Brandon Text Medium"/>
        </w:rPr>
        <w:t>36</w:t>
      </w:r>
      <w:r w:rsidR="005C5FC0">
        <w:rPr>
          <w:rFonts w:ascii="Brandon Text Medium" w:hAnsi="Brandon Text Medium" w:cs="Brandon Text Medium"/>
        </w:rPr>
        <w:t>%</w:t>
      </w:r>
      <w:r>
        <w:t>—Immigration</w:t>
      </w:r>
    </w:p>
    <w:p w14:paraId="56CD70A9" w14:textId="74F917AA" w:rsidR="005C5FC0" w:rsidRDefault="005C5FC0" w:rsidP="005C5FC0">
      <w:pPr>
        <w:pStyle w:val="body"/>
      </w:pPr>
      <w:r>
        <w:rPr>
          <w:spacing w:val="-2"/>
          <w:w w:val="96"/>
        </w:rPr>
        <w:t xml:space="preserve">When asked about the top three </w:t>
      </w:r>
      <w:r>
        <w:rPr>
          <w:i/>
          <w:iCs/>
          <w:spacing w:val="-2"/>
          <w:w w:val="96"/>
        </w:rPr>
        <w:t>healthcare</w:t>
      </w:r>
      <w:r>
        <w:rPr>
          <w:spacing w:val="-2"/>
          <w:w w:val="96"/>
        </w:rPr>
        <w:t xml:space="preserve"> priorities the government should work on, top vote getters were:</w:t>
      </w:r>
    </w:p>
    <w:p w14:paraId="2267E5ED" w14:textId="0337701E" w:rsidR="005C5FC0" w:rsidRDefault="008546B3" w:rsidP="005C5FC0">
      <w:pPr>
        <w:pStyle w:val="BodyBulletFirst"/>
        <w:numPr>
          <w:ilvl w:val="0"/>
          <w:numId w:val="9"/>
        </w:numPr>
      </w:pPr>
      <w:r>
        <w:rPr>
          <w:rFonts w:ascii="Brandon Text Medium" w:hAnsi="Brandon Text Medium" w:cs="Brandon Text Medium"/>
        </w:rPr>
        <w:t>41</w:t>
      </w:r>
      <w:r w:rsidR="005C5FC0">
        <w:rPr>
          <w:rFonts w:ascii="Brandon Text Medium" w:hAnsi="Brandon Text Medium" w:cs="Brandon Text Medium"/>
        </w:rPr>
        <w:t>%</w:t>
      </w:r>
      <w:r w:rsidR="005C5FC0">
        <w:t xml:space="preserve">—Address high healthcare costs, including prescription drugs </w:t>
      </w:r>
    </w:p>
    <w:p w14:paraId="7D67E741" w14:textId="77777777" w:rsidR="008546B3" w:rsidRDefault="008546B3" w:rsidP="008546B3">
      <w:pPr>
        <w:pStyle w:val="BodyBullet"/>
        <w:numPr>
          <w:ilvl w:val="0"/>
          <w:numId w:val="9"/>
        </w:numPr>
        <w:rPr>
          <w:rFonts w:asciiTheme="minorHAnsi" w:eastAsiaTheme="minorEastAsia" w:hAnsiTheme="minorHAnsi" w:cstheme="minorBidi"/>
          <w:color w:val="000000" w:themeColor="text1"/>
        </w:rPr>
      </w:pPr>
      <w:r>
        <w:rPr>
          <w:rFonts w:ascii="Brandon Text Medium" w:hAnsi="Brandon Text Medium"/>
        </w:rPr>
        <w:t>33</w:t>
      </w:r>
      <w:r w:rsidRPr="2AA190D6">
        <w:rPr>
          <w:rFonts w:ascii="Brandon Text Medium" w:hAnsi="Brandon Text Medium"/>
        </w:rPr>
        <w:t>%</w:t>
      </w:r>
      <w:r>
        <w:t>—Improve Medicare, coverage for seniors and those with serious disabilities</w:t>
      </w:r>
    </w:p>
    <w:p w14:paraId="54974605" w14:textId="53A1B1C8" w:rsidR="00FB00B4" w:rsidRDefault="008546B3" w:rsidP="00FB00B4">
      <w:pPr>
        <w:pStyle w:val="BodyBulletLast"/>
        <w:numPr>
          <w:ilvl w:val="0"/>
          <w:numId w:val="9"/>
        </w:numPr>
      </w:pPr>
      <w:r>
        <w:rPr>
          <w:rFonts w:ascii="Brandon Text Medium" w:hAnsi="Brandon Text Medium" w:cs="Brandon Text Medium"/>
        </w:rPr>
        <w:t>31</w:t>
      </w:r>
      <w:r w:rsidR="00FB00B4">
        <w:rPr>
          <w:rFonts w:ascii="Brandon Text Medium" w:hAnsi="Brandon Text Medium" w:cs="Brandon Text Medium"/>
        </w:rPr>
        <w:t>%</w:t>
      </w:r>
      <w:r w:rsidR="00FB00B4">
        <w:t>—</w:t>
      </w:r>
      <w:r w:rsidR="00ED0D24" w:rsidRPr="00ED0D24">
        <w:t xml:space="preserve"> Preserve consumer protections preventing people from being denied coverage or charged more for having a pre-existing medical condition</w:t>
      </w:r>
    </w:p>
    <w:p w14:paraId="06EC8979" w14:textId="4A661298" w:rsidR="005C5FC0" w:rsidRDefault="00FB00B4" w:rsidP="005C5FC0">
      <w:pPr>
        <w:pStyle w:val="BodyBullet"/>
        <w:numPr>
          <w:ilvl w:val="0"/>
          <w:numId w:val="9"/>
        </w:numPr>
      </w:pPr>
      <w:r>
        <w:rPr>
          <w:rFonts w:ascii="Brandon Text Medium" w:hAnsi="Brandon Text Medium" w:cs="Brandon Text Medium"/>
        </w:rPr>
        <w:t>31</w:t>
      </w:r>
      <w:r w:rsidR="005C5FC0">
        <w:rPr>
          <w:rFonts w:ascii="Brandon Text Medium" w:hAnsi="Brandon Text Medium" w:cs="Brandon Text Medium"/>
        </w:rPr>
        <w:t>%</w:t>
      </w:r>
      <w:r w:rsidR="005C5FC0">
        <w:t>—Get health insurance to those who cannot afford coverage</w:t>
      </w:r>
    </w:p>
    <w:p w14:paraId="363E4A19" w14:textId="77777777" w:rsidR="009851C1" w:rsidRDefault="009851C1" w:rsidP="005C5FC0">
      <w:pPr>
        <w:pStyle w:val="Bodyafterbullet"/>
      </w:pPr>
    </w:p>
    <w:p w14:paraId="4E13C54B" w14:textId="0B1E06B2" w:rsidR="005C5FC0" w:rsidRDefault="005C5FC0" w:rsidP="005C5FC0">
      <w:pPr>
        <w:pStyle w:val="Bodyafterbullet"/>
      </w:pPr>
      <w:r>
        <w:t xml:space="preserve">Of more than 20 options, </w:t>
      </w:r>
      <w:r w:rsidR="008546B3">
        <w:t>Georgia</w:t>
      </w:r>
      <w:r w:rsidR="00DB42A6">
        <w:t xml:space="preserve"> </w:t>
      </w:r>
      <w:r>
        <w:t xml:space="preserve">adults believe the reason for high healthcare costs is </w:t>
      </w:r>
      <w:r w:rsidR="006A15C8">
        <w:t xml:space="preserve">unfair prices charged by </w:t>
      </w:r>
      <w:r w:rsidR="00DB42A6">
        <w:t>powerful industry stakeholders</w:t>
      </w:r>
      <w:r>
        <w:t>:</w:t>
      </w:r>
    </w:p>
    <w:p w14:paraId="4A59EC20" w14:textId="77777777" w:rsidR="00996930" w:rsidRDefault="00996930" w:rsidP="00996930">
      <w:pPr>
        <w:pStyle w:val="BodyBullet"/>
        <w:numPr>
          <w:ilvl w:val="0"/>
          <w:numId w:val="10"/>
        </w:numPr>
      </w:pPr>
      <w:r>
        <w:rPr>
          <w:rFonts w:ascii="Brandon Text Medium" w:hAnsi="Brandon Text Medium" w:cs="Brandon Text Medium"/>
        </w:rPr>
        <w:t>63%</w:t>
      </w:r>
      <w:r>
        <w:t xml:space="preserve">—Hospitals charging too much money </w:t>
      </w:r>
    </w:p>
    <w:p w14:paraId="6784A77C" w14:textId="682FD662" w:rsidR="005C5FC0" w:rsidRDefault="00996930" w:rsidP="005C5FC0">
      <w:pPr>
        <w:pStyle w:val="BodyBulletFirst"/>
        <w:numPr>
          <w:ilvl w:val="0"/>
          <w:numId w:val="10"/>
        </w:numPr>
      </w:pPr>
      <w:r>
        <w:rPr>
          <w:rFonts w:ascii="Brandon Text Medium" w:hAnsi="Brandon Text Medium" w:cs="Brandon Text Medium"/>
        </w:rPr>
        <w:t>62</w:t>
      </w:r>
      <w:r w:rsidR="005C5FC0">
        <w:rPr>
          <w:rFonts w:ascii="Brandon Text Medium" w:hAnsi="Brandon Text Medium" w:cs="Brandon Text Medium"/>
        </w:rPr>
        <w:t>%</w:t>
      </w:r>
      <w:r w:rsidR="005C5FC0">
        <w:t xml:space="preserve">—Drug companies charging too much money </w:t>
      </w:r>
    </w:p>
    <w:p w14:paraId="714B7505" w14:textId="7C279A92" w:rsidR="005C5FC0" w:rsidRDefault="008546B3" w:rsidP="00FB00B4">
      <w:pPr>
        <w:pStyle w:val="BodyBullet"/>
        <w:numPr>
          <w:ilvl w:val="0"/>
          <w:numId w:val="10"/>
        </w:numPr>
      </w:pPr>
      <w:r>
        <w:rPr>
          <w:rFonts w:ascii="Brandon Text Medium" w:hAnsi="Brandon Text Medium" w:cs="Brandon Text Medium"/>
        </w:rPr>
        <w:t>61</w:t>
      </w:r>
      <w:r w:rsidR="00FB00B4">
        <w:rPr>
          <w:rFonts w:ascii="Brandon Text Medium" w:hAnsi="Brandon Text Medium" w:cs="Brandon Text Medium"/>
        </w:rPr>
        <w:t>%</w:t>
      </w:r>
      <w:r w:rsidR="00FB00B4">
        <w:t xml:space="preserve">—Insurance companies charging too much money </w:t>
      </w:r>
    </w:p>
    <w:p w14:paraId="30D89B54" w14:textId="77777777" w:rsidR="009851C1" w:rsidRDefault="009851C1" w:rsidP="00FB00B4">
      <w:pPr>
        <w:pStyle w:val="Bodyafterbullet"/>
      </w:pPr>
    </w:p>
    <w:p w14:paraId="6BFBA7B4" w14:textId="0EAD7E72" w:rsidR="005C5FC0" w:rsidRDefault="005C5FC0" w:rsidP="00FB00B4">
      <w:pPr>
        <w:pStyle w:val="Bodyafterbullet"/>
      </w:pPr>
      <w:r>
        <w:t>When it comes to tackling costs, respondents endorsed a nu</w:t>
      </w:r>
      <w:r w:rsidR="00FB00B4">
        <w:t xml:space="preserve">mber of strategies, including: </w:t>
      </w:r>
    </w:p>
    <w:p w14:paraId="305DA232" w14:textId="379D7680" w:rsidR="005C5FC0" w:rsidRDefault="00996930" w:rsidP="005C5FC0">
      <w:pPr>
        <w:pStyle w:val="BodyBullet"/>
        <w:numPr>
          <w:ilvl w:val="0"/>
          <w:numId w:val="11"/>
        </w:numPr>
      </w:pPr>
      <w:r>
        <w:rPr>
          <w:rFonts w:ascii="Brandon Text Medium" w:hAnsi="Brandon Text Medium" w:cs="Brandon Text Medium"/>
        </w:rPr>
        <w:t>87</w:t>
      </w:r>
      <w:r w:rsidR="005C5FC0">
        <w:rPr>
          <w:rFonts w:ascii="Brandon Text Medium" w:hAnsi="Brandon Text Medium" w:cs="Brandon Text Medium"/>
        </w:rPr>
        <w:t>%</w:t>
      </w:r>
      <w:r w:rsidR="005C5FC0">
        <w:t>—Make it easy to switch insurers if a health plan drops your doctor</w:t>
      </w:r>
    </w:p>
    <w:p w14:paraId="6E7CA396" w14:textId="147BD1DA" w:rsidR="005C5FC0" w:rsidRDefault="00996930" w:rsidP="005C5FC0">
      <w:pPr>
        <w:pStyle w:val="BodyBullet"/>
        <w:numPr>
          <w:ilvl w:val="0"/>
          <w:numId w:val="11"/>
        </w:numPr>
        <w:rPr>
          <w:rFonts w:ascii="Brandon Text Medium" w:hAnsi="Brandon Text Medium" w:cs="Brandon Text Medium"/>
        </w:rPr>
      </w:pPr>
      <w:r>
        <w:rPr>
          <w:rFonts w:ascii="Brandon Text Medium" w:hAnsi="Brandon Text Medium" w:cs="Brandon Text Medium"/>
        </w:rPr>
        <w:t>86</w:t>
      </w:r>
      <w:r w:rsidR="005C5FC0">
        <w:rPr>
          <w:rFonts w:ascii="Brandon Text Medium" w:hAnsi="Brandon Text Medium" w:cs="Brandon Text Medium"/>
        </w:rPr>
        <w:t>%</w:t>
      </w:r>
      <w:r w:rsidR="005C5FC0">
        <w:t>—Show what a fair price would be for specific procedures</w:t>
      </w:r>
    </w:p>
    <w:p w14:paraId="3E9C95F9" w14:textId="1801846D" w:rsidR="005C5FC0" w:rsidRDefault="00996930" w:rsidP="005C5FC0">
      <w:pPr>
        <w:pStyle w:val="BodyBullet"/>
        <w:numPr>
          <w:ilvl w:val="0"/>
          <w:numId w:val="11"/>
        </w:numPr>
      </w:pPr>
      <w:r>
        <w:rPr>
          <w:rFonts w:ascii="Brandon Text Medium" w:hAnsi="Brandon Text Medium" w:cs="Brandon Text Medium"/>
        </w:rPr>
        <w:t>85</w:t>
      </w:r>
      <w:r w:rsidR="005C5FC0">
        <w:rPr>
          <w:rFonts w:ascii="Brandon Text Medium" w:hAnsi="Brandon Text Medium" w:cs="Brandon Text Medium"/>
        </w:rPr>
        <w:t>%</w:t>
      </w:r>
      <w:r w:rsidR="005C5FC0">
        <w:t>—Require hospitals and doctors to provide up-front cost estimates to consumers</w:t>
      </w:r>
    </w:p>
    <w:p w14:paraId="3A3A3373" w14:textId="76095100" w:rsidR="00F201E3" w:rsidRDefault="00996930" w:rsidP="005C5FC0">
      <w:pPr>
        <w:pStyle w:val="BodyBullet"/>
        <w:numPr>
          <w:ilvl w:val="0"/>
          <w:numId w:val="11"/>
        </w:numPr>
      </w:pPr>
      <w:r>
        <w:rPr>
          <w:rFonts w:ascii="Brandon Text Medium" w:hAnsi="Brandon Text Medium" w:cs="Brandon Text Medium"/>
        </w:rPr>
        <w:t>84</w:t>
      </w:r>
      <w:r w:rsidR="005C5FC0">
        <w:rPr>
          <w:rFonts w:ascii="Brandon Text Medium" w:hAnsi="Brandon Text Medium" w:cs="Brandon Text Medium"/>
        </w:rPr>
        <w:t>%</w:t>
      </w:r>
      <w:r w:rsidR="005C5FC0">
        <w:t>—Require insurers to provide up-front cost estimates to consumers</w:t>
      </w:r>
    </w:p>
    <w:p w14:paraId="364868F8" w14:textId="77777777" w:rsidR="003A4298" w:rsidRDefault="003A4298" w:rsidP="00F201E3">
      <w:pPr>
        <w:pStyle w:val="BodyBullet"/>
        <w:ind w:left="0" w:firstLine="0"/>
      </w:pPr>
    </w:p>
    <w:p w14:paraId="71C042F1" w14:textId="15DC0F6C" w:rsidR="005C5FC0" w:rsidRDefault="005C5FC0" w:rsidP="00F201E3">
      <w:pPr>
        <w:pStyle w:val="BodyBullet"/>
        <w:ind w:left="0" w:firstLine="0"/>
      </w:pPr>
      <w:commentRangeStart w:id="1"/>
      <w:r>
        <w:t>There were also high levels of support for strategies to lower prescription drug costs:</w:t>
      </w:r>
    </w:p>
    <w:p w14:paraId="42BB52EE" w14:textId="1B99BA0F" w:rsidR="005C5FC0" w:rsidRDefault="00996930" w:rsidP="005C5FC0">
      <w:pPr>
        <w:pStyle w:val="BodyBullet"/>
        <w:numPr>
          <w:ilvl w:val="0"/>
          <w:numId w:val="12"/>
        </w:numPr>
      </w:pPr>
      <w:r>
        <w:rPr>
          <w:rFonts w:ascii="Brandon Text Medium" w:hAnsi="Brandon Text Medium" w:cs="Brandon Text Medium"/>
        </w:rPr>
        <w:lastRenderedPageBreak/>
        <w:t>84</w:t>
      </w:r>
      <w:r w:rsidR="005C5FC0">
        <w:rPr>
          <w:rFonts w:ascii="Brandon Text Medium" w:hAnsi="Brandon Text Medium" w:cs="Brandon Text Medium"/>
        </w:rPr>
        <w:t>%</w:t>
      </w:r>
      <w:r w:rsidR="005C5FC0">
        <w:t>—Authorize the Attorney General to take legal action to prevent price gouging or unfair prescription drug price hikes</w:t>
      </w:r>
    </w:p>
    <w:p w14:paraId="518F0E4B" w14:textId="64D0C0FE" w:rsidR="00F201E3" w:rsidRDefault="00996930" w:rsidP="00F201E3">
      <w:pPr>
        <w:pStyle w:val="BodyBullet"/>
        <w:numPr>
          <w:ilvl w:val="0"/>
          <w:numId w:val="12"/>
        </w:numPr>
      </w:pPr>
      <w:r>
        <w:rPr>
          <w:rFonts w:ascii="Brandon Text Medium" w:hAnsi="Brandon Text Medium" w:cs="Brandon Text Medium"/>
        </w:rPr>
        <w:t>84</w:t>
      </w:r>
      <w:r w:rsidR="00F201E3">
        <w:rPr>
          <w:rFonts w:ascii="Brandon Text Medium" w:hAnsi="Brandon Text Medium" w:cs="Brandon Text Medium"/>
        </w:rPr>
        <w:t>%</w:t>
      </w:r>
      <w:r w:rsidR="00F201E3">
        <w:t>—Require drug companies to provide advance notice of price increases and information to justify those increases</w:t>
      </w:r>
    </w:p>
    <w:p w14:paraId="27694C34" w14:textId="4DB4F2C4" w:rsidR="005C5FC0" w:rsidRDefault="00996930" w:rsidP="005C5FC0">
      <w:pPr>
        <w:pStyle w:val="BodyBullet"/>
        <w:numPr>
          <w:ilvl w:val="0"/>
          <w:numId w:val="12"/>
        </w:numPr>
      </w:pPr>
      <w:r>
        <w:rPr>
          <w:rFonts w:ascii="Brandon Text Medium" w:hAnsi="Brandon Text Medium" w:cs="Brandon Text Medium"/>
        </w:rPr>
        <w:t>83</w:t>
      </w:r>
      <w:r w:rsidR="005C5FC0">
        <w:rPr>
          <w:rFonts w:ascii="Brandon Text Medium" w:hAnsi="Brandon Text Medium" w:cs="Brandon Text Medium"/>
        </w:rPr>
        <w:t>%</w:t>
      </w:r>
      <w:r w:rsidR="005C5FC0">
        <w:t>—Set standard prices for drugs to make them affordable</w:t>
      </w:r>
    </w:p>
    <w:p w14:paraId="1A7D40D0" w14:textId="7182D704" w:rsidR="00DB42A6" w:rsidRDefault="00996930" w:rsidP="0094190A">
      <w:pPr>
        <w:pStyle w:val="BodyBulletFirst"/>
        <w:numPr>
          <w:ilvl w:val="0"/>
          <w:numId w:val="12"/>
        </w:numPr>
      </w:pPr>
      <w:r>
        <w:rPr>
          <w:rFonts w:ascii="Brandon Text Medium" w:hAnsi="Brandon Text Medium" w:cs="Brandon Text Medium"/>
        </w:rPr>
        <w:t>81</w:t>
      </w:r>
      <w:r w:rsidR="00DB42A6">
        <w:rPr>
          <w:rFonts w:ascii="Brandon Text Medium" w:hAnsi="Brandon Text Medium" w:cs="Brandon Text Medium"/>
        </w:rPr>
        <w:t>%</w:t>
      </w:r>
      <w:r w:rsidR="00DB42A6">
        <w:t>—Prohibit drug companies from charging more in the U.S. than abroad</w:t>
      </w:r>
      <w:commentRangeEnd w:id="1"/>
      <w:r w:rsidR="001636FE">
        <w:rPr>
          <w:rStyle w:val="CommentReference"/>
          <w:rFonts w:asciiTheme="minorHAnsi" w:hAnsiTheme="minorHAnsi" w:cstheme="minorBidi"/>
          <w:color w:val="auto"/>
        </w:rPr>
        <w:commentReference w:id="1"/>
      </w:r>
    </w:p>
    <w:p w14:paraId="63114B64" w14:textId="77777777" w:rsidR="005C5FC0" w:rsidRDefault="005C5FC0" w:rsidP="005C5FC0">
      <w:pPr>
        <w:pStyle w:val="SubHead"/>
      </w:pPr>
      <w:r>
        <w:t>Support for Action Across Party Lines</w:t>
      </w:r>
    </w:p>
    <w:p w14:paraId="2986256E" w14:textId="20F0ABAC" w:rsidR="005C5FC0" w:rsidRDefault="001663A1" w:rsidP="005C5FC0">
      <w:pPr>
        <w:pStyle w:val="Bodyafterbullet"/>
      </w:pPr>
      <w:r>
        <w:t xml:space="preserve">What is remarkable about these findings </w:t>
      </w:r>
      <w:r w:rsidR="007169BC">
        <w:t xml:space="preserve">is </w:t>
      </w:r>
      <w:r w:rsidR="005C5FC0">
        <w:t xml:space="preserve">high support for change regardless of respondents' political affiliation (see Tables 3 and 4). </w:t>
      </w:r>
    </w:p>
    <w:p w14:paraId="085D0EED" w14:textId="77777777" w:rsidR="00CD26B7" w:rsidRDefault="00CD26B7" w:rsidP="00CD26B7">
      <w:pPr>
        <w:rPr>
          <w:b/>
        </w:rPr>
      </w:pPr>
    </w:p>
    <w:p w14:paraId="66247588" w14:textId="58BA9117" w:rsidR="00CD26B7" w:rsidRDefault="00CD26B7" w:rsidP="00CD26B7">
      <w:r w:rsidRPr="003E6878">
        <w:rPr>
          <w:b/>
        </w:rPr>
        <w:t>Table 3:</w:t>
      </w:r>
      <w:r>
        <w:t xml:space="preserve"> </w:t>
      </w:r>
      <w:r w:rsidRPr="00C93052">
        <w:rPr>
          <w:b/>
          <w:color w:val="231F20"/>
        </w:rPr>
        <w:t>Percent Who Agreed/Strongly Agreed, by Political Affiliation</w:t>
      </w:r>
    </w:p>
    <w:tbl>
      <w:tblPr>
        <w:tblStyle w:val="TableGrid"/>
        <w:tblW w:w="9586" w:type="dxa"/>
        <w:tblLook w:val="04A0" w:firstRow="1" w:lastRow="0" w:firstColumn="1" w:lastColumn="0" w:noHBand="0" w:noVBand="1"/>
      </w:tblPr>
      <w:tblGrid>
        <w:gridCol w:w="3055"/>
        <w:gridCol w:w="1800"/>
        <w:gridCol w:w="1620"/>
        <w:gridCol w:w="1440"/>
        <w:gridCol w:w="1671"/>
      </w:tblGrid>
      <w:tr w:rsidR="00CD26B7" w14:paraId="5D0A9172" w14:textId="77777777" w:rsidTr="572EFD56">
        <w:trPr>
          <w:tblHeader/>
        </w:trPr>
        <w:tc>
          <w:tcPr>
            <w:tcW w:w="3055" w:type="dxa"/>
            <w:vMerge w:val="restart"/>
            <w:shd w:val="clear" w:color="auto" w:fill="B4C6E7" w:themeFill="accent1" w:themeFillTint="66"/>
          </w:tcPr>
          <w:p w14:paraId="1FBDD785" w14:textId="7AA763E6" w:rsidR="00CD26B7" w:rsidRPr="00334CB3" w:rsidRDefault="00CD26B7" w:rsidP="007D1D09">
            <w:pPr>
              <w:rPr>
                <w:b/>
              </w:rPr>
            </w:pPr>
            <w:r w:rsidRPr="001517F6">
              <w:rPr>
                <w:b/>
              </w:rPr>
              <w:t>Selected Questions</w:t>
            </w:r>
            <w:r w:rsidR="00D45C6E">
              <w:rPr>
                <w:b/>
              </w:rPr>
              <w:t>/Statements</w:t>
            </w:r>
            <w:r w:rsidRPr="00334CB3">
              <w:rPr>
                <w:b/>
              </w:rPr>
              <w:t xml:space="preserve">: </w:t>
            </w:r>
          </w:p>
        </w:tc>
        <w:tc>
          <w:tcPr>
            <w:tcW w:w="1800" w:type="dxa"/>
            <w:vMerge w:val="restart"/>
            <w:shd w:val="clear" w:color="auto" w:fill="B4C6E7" w:themeFill="accent1" w:themeFillTint="66"/>
          </w:tcPr>
          <w:p w14:paraId="5101DF7C" w14:textId="77777777" w:rsidR="00CD26B7" w:rsidRDefault="00CD26B7" w:rsidP="007D1D09">
            <w:pPr>
              <w:jc w:val="center"/>
              <w:rPr>
                <w:b/>
              </w:rPr>
            </w:pPr>
          </w:p>
          <w:p w14:paraId="4FE76D8A" w14:textId="77777777" w:rsidR="00CD26B7" w:rsidRPr="00334CB3" w:rsidRDefault="00CD26B7" w:rsidP="007D1D09">
            <w:pPr>
              <w:jc w:val="center"/>
              <w:rPr>
                <w:b/>
              </w:rPr>
            </w:pPr>
            <w:r w:rsidRPr="00334CB3">
              <w:rPr>
                <w:b/>
              </w:rPr>
              <w:t>Total</w:t>
            </w:r>
          </w:p>
        </w:tc>
        <w:tc>
          <w:tcPr>
            <w:tcW w:w="4731" w:type="dxa"/>
            <w:gridSpan w:val="3"/>
            <w:shd w:val="clear" w:color="auto" w:fill="B4C6E7" w:themeFill="accent1" w:themeFillTint="66"/>
          </w:tcPr>
          <w:p w14:paraId="7C622AA2" w14:textId="77777777" w:rsidR="00CD26B7" w:rsidRPr="00334CB3" w:rsidRDefault="00CD26B7" w:rsidP="007D1D09">
            <w:pPr>
              <w:jc w:val="center"/>
              <w:rPr>
                <w:b/>
              </w:rPr>
            </w:pPr>
            <w:r>
              <w:rPr>
                <w:b/>
              </w:rPr>
              <w:t>Generally speaking, do you think of yourself as…</w:t>
            </w:r>
          </w:p>
        </w:tc>
      </w:tr>
      <w:tr w:rsidR="00CD26B7" w14:paraId="43D5291D" w14:textId="77777777" w:rsidTr="572EFD56">
        <w:trPr>
          <w:tblHeader/>
        </w:trPr>
        <w:tc>
          <w:tcPr>
            <w:tcW w:w="3055" w:type="dxa"/>
            <w:vMerge/>
          </w:tcPr>
          <w:p w14:paraId="797AA158" w14:textId="77777777" w:rsidR="00CD26B7" w:rsidRPr="00334CB3" w:rsidRDefault="00CD26B7" w:rsidP="007D1D09">
            <w:pPr>
              <w:rPr>
                <w:b/>
              </w:rPr>
            </w:pPr>
          </w:p>
        </w:tc>
        <w:tc>
          <w:tcPr>
            <w:tcW w:w="1800" w:type="dxa"/>
            <w:vMerge/>
          </w:tcPr>
          <w:p w14:paraId="708CB27D" w14:textId="77777777" w:rsidR="00CD26B7" w:rsidRPr="00334CB3" w:rsidRDefault="00CD26B7" w:rsidP="007D1D09">
            <w:pPr>
              <w:jc w:val="center"/>
              <w:rPr>
                <w:b/>
              </w:rPr>
            </w:pPr>
          </w:p>
        </w:tc>
        <w:tc>
          <w:tcPr>
            <w:tcW w:w="1620" w:type="dxa"/>
            <w:shd w:val="clear" w:color="auto" w:fill="B4C6E7" w:themeFill="accent1" w:themeFillTint="66"/>
          </w:tcPr>
          <w:p w14:paraId="60A8599F" w14:textId="77777777" w:rsidR="00CD26B7" w:rsidRPr="00334CB3" w:rsidRDefault="00CD26B7" w:rsidP="007D1D09">
            <w:pPr>
              <w:jc w:val="center"/>
              <w:rPr>
                <w:b/>
              </w:rPr>
            </w:pPr>
            <w:r w:rsidRPr="00334CB3">
              <w:rPr>
                <w:b/>
              </w:rPr>
              <w:t>Republican</w:t>
            </w:r>
          </w:p>
        </w:tc>
        <w:tc>
          <w:tcPr>
            <w:tcW w:w="1440" w:type="dxa"/>
            <w:shd w:val="clear" w:color="auto" w:fill="B4C6E7" w:themeFill="accent1" w:themeFillTint="66"/>
          </w:tcPr>
          <w:p w14:paraId="35831E7A" w14:textId="77777777" w:rsidR="00CD26B7" w:rsidRPr="00334CB3" w:rsidRDefault="00CD26B7" w:rsidP="007D1D09">
            <w:pPr>
              <w:jc w:val="center"/>
              <w:rPr>
                <w:b/>
              </w:rPr>
            </w:pPr>
            <w:r w:rsidRPr="00334CB3">
              <w:rPr>
                <w:b/>
              </w:rPr>
              <w:t>Democrat</w:t>
            </w:r>
          </w:p>
        </w:tc>
        <w:tc>
          <w:tcPr>
            <w:tcW w:w="1671" w:type="dxa"/>
            <w:shd w:val="clear" w:color="auto" w:fill="B4C6E7" w:themeFill="accent1" w:themeFillTint="66"/>
          </w:tcPr>
          <w:p w14:paraId="0234EF83" w14:textId="77777777" w:rsidR="00CD26B7" w:rsidRPr="00334CB3" w:rsidRDefault="00CD26B7" w:rsidP="007D1D09">
            <w:pPr>
              <w:jc w:val="center"/>
              <w:rPr>
                <w:b/>
              </w:rPr>
            </w:pPr>
            <w:r w:rsidRPr="00334CB3">
              <w:rPr>
                <w:b/>
              </w:rPr>
              <w:t>Neither</w:t>
            </w:r>
          </w:p>
        </w:tc>
      </w:tr>
      <w:tr w:rsidR="00CD26B7" w14:paraId="070B8A5B" w14:textId="77777777" w:rsidTr="572EFD56">
        <w:tc>
          <w:tcPr>
            <w:tcW w:w="3055" w:type="dxa"/>
            <w:shd w:val="clear" w:color="auto" w:fill="auto"/>
            <w:vAlign w:val="center"/>
          </w:tcPr>
          <w:p w14:paraId="6397240A" w14:textId="77777777" w:rsidR="00CD26B7" w:rsidRDefault="00CD26B7" w:rsidP="007D1D09">
            <w:r>
              <w:t xml:space="preserve">“We have a great healthcare system in the U.S.” </w:t>
            </w:r>
          </w:p>
        </w:tc>
        <w:tc>
          <w:tcPr>
            <w:tcW w:w="1800" w:type="dxa"/>
            <w:shd w:val="clear" w:color="auto" w:fill="auto"/>
            <w:vAlign w:val="center"/>
          </w:tcPr>
          <w:p w14:paraId="384E70B2" w14:textId="4497053B" w:rsidR="00CD26B7" w:rsidRPr="00012CA7" w:rsidRDefault="00996930" w:rsidP="007D1D09">
            <w:pPr>
              <w:jc w:val="center"/>
            </w:pPr>
            <w:r>
              <w:t>39</w:t>
            </w:r>
            <w:r w:rsidR="00CD26B7" w:rsidRPr="00012CA7">
              <w:t>%</w:t>
            </w:r>
          </w:p>
        </w:tc>
        <w:tc>
          <w:tcPr>
            <w:tcW w:w="1620" w:type="dxa"/>
            <w:shd w:val="clear" w:color="auto" w:fill="auto"/>
            <w:vAlign w:val="center"/>
          </w:tcPr>
          <w:p w14:paraId="34462712" w14:textId="2AC82C03" w:rsidR="00CD26B7" w:rsidRPr="00012CA7" w:rsidRDefault="00CD26B7" w:rsidP="007D1D09">
            <w:pPr>
              <w:jc w:val="center"/>
            </w:pPr>
            <w:r w:rsidRPr="00012CA7">
              <w:t>4</w:t>
            </w:r>
            <w:r w:rsidR="00996930">
              <w:t>7</w:t>
            </w:r>
            <w:r w:rsidRPr="00012CA7">
              <w:t>%</w:t>
            </w:r>
          </w:p>
        </w:tc>
        <w:tc>
          <w:tcPr>
            <w:tcW w:w="1440" w:type="dxa"/>
            <w:shd w:val="clear" w:color="auto" w:fill="auto"/>
            <w:vAlign w:val="center"/>
          </w:tcPr>
          <w:p w14:paraId="02559F2E" w14:textId="7EAA53D0" w:rsidR="00CD26B7" w:rsidRPr="00012CA7" w:rsidRDefault="00F201E3" w:rsidP="007D1D09">
            <w:pPr>
              <w:jc w:val="center"/>
            </w:pPr>
            <w:r>
              <w:t>38</w:t>
            </w:r>
            <w:r w:rsidR="00CD26B7" w:rsidRPr="00012CA7">
              <w:t>%</w:t>
            </w:r>
          </w:p>
        </w:tc>
        <w:tc>
          <w:tcPr>
            <w:tcW w:w="1671" w:type="dxa"/>
            <w:shd w:val="clear" w:color="auto" w:fill="auto"/>
            <w:vAlign w:val="center"/>
          </w:tcPr>
          <w:p w14:paraId="29C85FAF" w14:textId="65CD69E9" w:rsidR="00CD26B7" w:rsidRPr="00012CA7" w:rsidRDefault="00996930" w:rsidP="007D1D09">
            <w:pPr>
              <w:jc w:val="center"/>
            </w:pPr>
            <w:r>
              <w:t>29</w:t>
            </w:r>
            <w:r w:rsidR="00CD26B7" w:rsidRPr="00012CA7">
              <w:t>%</w:t>
            </w:r>
          </w:p>
        </w:tc>
      </w:tr>
      <w:tr w:rsidR="00CD26B7" w14:paraId="4DD23C02" w14:textId="77777777" w:rsidTr="572EFD56">
        <w:tc>
          <w:tcPr>
            <w:tcW w:w="3055" w:type="dxa"/>
            <w:shd w:val="clear" w:color="auto" w:fill="auto"/>
            <w:vAlign w:val="center"/>
          </w:tcPr>
          <w:p w14:paraId="60C77E01" w14:textId="00A6E57B" w:rsidR="00CD26B7" w:rsidRDefault="00CD26B7" w:rsidP="007D1D09">
            <w:r>
              <w:t>“</w:t>
            </w:r>
            <w:r w:rsidR="00F44F5B">
              <w:t xml:space="preserve">The </w:t>
            </w:r>
            <w:r>
              <w:t xml:space="preserve">U.S. healthcare system needs to change” </w:t>
            </w:r>
          </w:p>
        </w:tc>
        <w:tc>
          <w:tcPr>
            <w:tcW w:w="1800" w:type="dxa"/>
            <w:shd w:val="clear" w:color="auto" w:fill="auto"/>
            <w:vAlign w:val="center"/>
          </w:tcPr>
          <w:p w14:paraId="6039C800" w14:textId="65E0290E" w:rsidR="00CD26B7" w:rsidRPr="00012CA7" w:rsidRDefault="00996930" w:rsidP="007D1D09">
            <w:pPr>
              <w:jc w:val="center"/>
            </w:pPr>
            <w:r>
              <w:t>62</w:t>
            </w:r>
            <w:r w:rsidR="00CD26B7" w:rsidRPr="00012CA7">
              <w:t>%</w:t>
            </w:r>
          </w:p>
        </w:tc>
        <w:tc>
          <w:tcPr>
            <w:tcW w:w="1620" w:type="dxa"/>
            <w:shd w:val="clear" w:color="auto" w:fill="auto"/>
            <w:vAlign w:val="center"/>
          </w:tcPr>
          <w:p w14:paraId="23BA8776" w14:textId="0A4C0368" w:rsidR="00CD26B7" w:rsidRPr="00012CA7" w:rsidRDefault="00996930" w:rsidP="007D1D09">
            <w:pPr>
              <w:jc w:val="center"/>
            </w:pPr>
            <w:r>
              <w:t>55</w:t>
            </w:r>
            <w:r w:rsidR="00CD26B7" w:rsidRPr="00012CA7">
              <w:t>%</w:t>
            </w:r>
          </w:p>
        </w:tc>
        <w:tc>
          <w:tcPr>
            <w:tcW w:w="1440" w:type="dxa"/>
            <w:shd w:val="clear" w:color="auto" w:fill="auto"/>
            <w:vAlign w:val="center"/>
          </w:tcPr>
          <w:p w14:paraId="45EB7D14" w14:textId="5AAF5DAE" w:rsidR="00CD26B7" w:rsidRPr="00012CA7" w:rsidRDefault="00996930" w:rsidP="007D1D09">
            <w:pPr>
              <w:jc w:val="center"/>
            </w:pPr>
            <w:r>
              <w:t>66</w:t>
            </w:r>
            <w:r w:rsidR="00CD26B7" w:rsidRPr="00012CA7">
              <w:t>%</w:t>
            </w:r>
          </w:p>
        </w:tc>
        <w:tc>
          <w:tcPr>
            <w:tcW w:w="1671" w:type="dxa"/>
            <w:shd w:val="clear" w:color="auto" w:fill="auto"/>
            <w:vAlign w:val="center"/>
          </w:tcPr>
          <w:p w14:paraId="762A3F7B" w14:textId="6DC44413" w:rsidR="00CD26B7" w:rsidRPr="00012CA7" w:rsidRDefault="00996930" w:rsidP="007D1D09">
            <w:pPr>
              <w:jc w:val="center"/>
            </w:pPr>
            <w:r>
              <w:t>66</w:t>
            </w:r>
            <w:r w:rsidR="00CD26B7" w:rsidRPr="00012CA7">
              <w:t>%</w:t>
            </w:r>
          </w:p>
        </w:tc>
      </w:tr>
      <w:tr w:rsidR="00996930" w14:paraId="2E7C170D" w14:textId="77777777" w:rsidTr="572EFD56">
        <w:tc>
          <w:tcPr>
            <w:tcW w:w="3055" w:type="dxa"/>
            <w:shd w:val="clear" w:color="auto" w:fill="auto"/>
            <w:vAlign w:val="center"/>
          </w:tcPr>
          <w:p w14:paraId="34714145" w14:textId="42D26629" w:rsidR="00996930" w:rsidRDefault="00996930" w:rsidP="00996930">
            <w:r w:rsidRPr="00192A13">
              <w:t xml:space="preserve">Major reason for rising </w:t>
            </w:r>
            <w:r>
              <w:t xml:space="preserve">healthcare </w:t>
            </w:r>
            <w:r w:rsidRPr="00192A13">
              <w:t xml:space="preserve">costs: </w:t>
            </w:r>
            <w:r w:rsidRPr="00192A13">
              <w:rPr>
                <w:i/>
              </w:rPr>
              <w:t>Hospitals charging too much money</w:t>
            </w:r>
          </w:p>
        </w:tc>
        <w:tc>
          <w:tcPr>
            <w:tcW w:w="1800" w:type="dxa"/>
            <w:shd w:val="clear" w:color="auto" w:fill="auto"/>
            <w:vAlign w:val="center"/>
          </w:tcPr>
          <w:p w14:paraId="77E1D505" w14:textId="52F41237" w:rsidR="00996930" w:rsidRPr="00012CA7" w:rsidRDefault="00996930" w:rsidP="00996930">
            <w:pPr>
              <w:jc w:val="center"/>
            </w:pPr>
            <w:r>
              <w:t>63</w:t>
            </w:r>
            <w:r w:rsidRPr="001637AC">
              <w:t>%</w:t>
            </w:r>
          </w:p>
        </w:tc>
        <w:tc>
          <w:tcPr>
            <w:tcW w:w="1620" w:type="dxa"/>
            <w:shd w:val="clear" w:color="auto" w:fill="auto"/>
            <w:vAlign w:val="center"/>
          </w:tcPr>
          <w:p w14:paraId="2DB622AB" w14:textId="40703BE6" w:rsidR="00996930" w:rsidRDefault="00826995" w:rsidP="00996930">
            <w:pPr>
              <w:jc w:val="center"/>
            </w:pPr>
            <w:r>
              <w:t>56</w:t>
            </w:r>
            <w:r w:rsidR="00996930" w:rsidRPr="001637AC">
              <w:t>%</w:t>
            </w:r>
          </w:p>
        </w:tc>
        <w:tc>
          <w:tcPr>
            <w:tcW w:w="1440" w:type="dxa"/>
            <w:shd w:val="clear" w:color="auto" w:fill="auto"/>
            <w:vAlign w:val="center"/>
          </w:tcPr>
          <w:p w14:paraId="3F5CCBB8" w14:textId="1E6062A7" w:rsidR="00996930" w:rsidRDefault="00826995" w:rsidP="00996930">
            <w:pPr>
              <w:jc w:val="center"/>
            </w:pPr>
            <w:r>
              <w:t>68</w:t>
            </w:r>
            <w:r w:rsidR="00996930" w:rsidRPr="001637AC">
              <w:t>%</w:t>
            </w:r>
          </w:p>
        </w:tc>
        <w:tc>
          <w:tcPr>
            <w:tcW w:w="1671" w:type="dxa"/>
            <w:shd w:val="clear" w:color="auto" w:fill="auto"/>
            <w:vAlign w:val="center"/>
          </w:tcPr>
          <w:p w14:paraId="66002443" w14:textId="120C7F47" w:rsidR="00996930" w:rsidRDefault="00826995" w:rsidP="00996930">
            <w:pPr>
              <w:jc w:val="center"/>
            </w:pPr>
            <w:r>
              <w:t>66</w:t>
            </w:r>
            <w:r w:rsidR="00996930" w:rsidRPr="001637AC">
              <w:t>%</w:t>
            </w:r>
          </w:p>
        </w:tc>
      </w:tr>
      <w:tr w:rsidR="00996930" w14:paraId="69D8D6FA" w14:textId="77777777" w:rsidTr="572EFD56">
        <w:tc>
          <w:tcPr>
            <w:tcW w:w="3055" w:type="dxa"/>
            <w:shd w:val="clear" w:color="auto" w:fill="auto"/>
            <w:vAlign w:val="center"/>
          </w:tcPr>
          <w:p w14:paraId="1554E8FA" w14:textId="5B7F6F01" w:rsidR="00996930" w:rsidRDefault="00996930" w:rsidP="00996930">
            <w:r>
              <w:t xml:space="preserve">Major reason for rising healthcare costs: </w:t>
            </w:r>
            <w:r w:rsidRPr="002934AD">
              <w:rPr>
                <w:i/>
              </w:rPr>
              <w:t>Drug companies charging too much money</w:t>
            </w:r>
          </w:p>
        </w:tc>
        <w:tc>
          <w:tcPr>
            <w:tcW w:w="1800" w:type="dxa"/>
            <w:shd w:val="clear" w:color="auto" w:fill="auto"/>
            <w:vAlign w:val="center"/>
          </w:tcPr>
          <w:p w14:paraId="757A86E6" w14:textId="3AA361FF" w:rsidR="00996930" w:rsidRPr="00012CA7" w:rsidDel="001C41D7" w:rsidRDefault="00996930" w:rsidP="00996930">
            <w:pPr>
              <w:jc w:val="center"/>
            </w:pPr>
            <w:r>
              <w:t>62</w:t>
            </w:r>
            <w:r w:rsidRPr="00012CA7">
              <w:t>%</w:t>
            </w:r>
          </w:p>
        </w:tc>
        <w:tc>
          <w:tcPr>
            <w:tcW w:w="1620" w:type="dxa"/>
            <w:shd w:val="clear" w:color="auto" w:fill="auto"/>
            <w:vAlign w:val="center"/>
          </w:tcPr>
          <w:p w14:paraId="78961BB7" w14:textId="0758953D" w:rsidR="00996930" w:rsidRPr="00012CA7" w:rsidDel="001C41D7" w:rsidRDefault="0003487F" w:rsidP="00996930">
            <w:pPr>
              <w:jc w:val="center"/>
            </w:pPr>
            <w:r>
              <w:t>58</w:t>
            </w:r>
            <w:r w:rsidR="00996930" w:rsidRPr="00012CA7">
              <w:t>%</w:t>
            </w:r>
          </w:p>
        </w:tc>
        <w:tc>
          <w:tcPr>
            <w:tcW w:w="1440" w:type="dxa"/>
            <w:shd w:val="clear" w:color="auto" w:fill="auto"/>
            <w:vAlign w:val="center"/>
          </w:tcPr>
          <w:p w14:paraId="31B2268E" w14:textId="5AFCE2FF" w:rsidR="00996930" w:rsidRPr="00012CA7" w:rsidDel="001C41D7" w:rsidRDefault="0003487F" w:rsidP="00996930">
            <w:pPr>
              <w:jc w:val="center"/>
            </w:pPr>
            <w:r>
              <w:t>62</w:t>
            </w:r>
            <w:r w:rsidR="00996930" w:rsidRPr="00012CA7">
              <w:t>%</w:t>
            </w:r>
          </w:p>
        </w:tc>
        <w:tc>
          <w:tcPr>
            <w:tcW w:w="1671" w:type="dxa"/>
            <w:shd w:val="clear" w:color="auto" w:fill="auto"/>
            <w:vAlign w:val="center"/>
          </w:tcPr>
          <w:p w14:paraId="1A7DDECB" w14:textId="0488684B" w:rsidR="00996930" w:rsidRPr="00012CA7" w:rsidDel="001C41D7" w:rsidRDefault="0003487F" w:rsidP="00996930">
            <w:pPr>
              <w:jc w:val="center"/>
            </w:pPr>
            <w:r>
              <w:t>65</w:t>
            </w:r>
            <w:r w:rsidR="00996930" w:rsidRPr="00012CA7">
              <w:t>%</w:t>
            </w:r>
          </w:p>
        </w:tc>
      </w:tr>
      <w:tr w:rsidR="00996930" w14:paraId="770F7F6B" w14:textId="77777777" w:rsidTr="572EFD56">
        <w:tc>
          <w:tcPr>
            <w:tcW w:w="3055" w:type="dxa"/>
            <w:shd w:val="clear" w:color="auto" w:fill="auto"/>
            <w:vAlign w:val="center"/>
          </w:tcPr>
          <w:p w14:paraId="3EBC2EBB" w14:textId="11909712" w:rsidR="00996930" w:rsidRPr="00262CF9" w:rsidRDefault="00D97A3A" w:rsidP="00996930">
            <w:pPr>
              <w:rPr>
                <w:rFonts w:cstheme="minorHAnsi"/>
                <w:color w:val="000000"/>
              </w:rPr>
            </w:pPr>
            <w:r>
              <w:rPr>
                <w:rFonts w:cstheme="minorHAnsi"/>
                <w:color w:val="000000"/>
              </w:rPr>
              <w:t>The government should e</w:t>
            </w:r>
            <w:r w:rsidR="00DB6C50" w:rsidRPr="00262CF9">
              <w:rPr>
                <w:rFonts w:cstheme="minorHAnsi"/>
                <w:color w:val="000000"/>
              </w:rPr>
              <w:t>xpand health insurance options so everyone can afford quality coverage</w:t>
            </w:r>
          </w:p>
        </w:tc>
        <w:tc>
          <w:tcPr>
            <w:tcW w:w="1800" w:type="dxa"/>
            <w:shd w:val="clear" w:color="auto" w:fill="auto"/>
            <w:vAlign w:val="center"/>
          </w:tcPr>
          <w:p w14:paraId="545983B7" w14:textId="3C9D9DE0" w:rsidR="00996930" w:rsidRPr="001637AC" w:rsidDel="001C41D7" w:rsidRDefault="00DB6C50" w:rsidP="00996930">
            <w:pPr>
              <w:jc w:val="center"/>
            </w:pPr>
            <w:r>
              <w:t>81%</w:t>
            </w:r>
          </w:p>
        </w:tc>
        <w:tc>
          <w:tcPr>
            <w:tcW w:w="1620" w:type="dxa"/>
            <w:shd w:val="clear" w:color="auto" w:fill="auto"/>
            <w:vAlign w:val="center"/>
          </w:tcPr>
          <w:p w14:paraId="091EDDC6" w14:textId="4AC4F83E" w:rsidR="00996930" w:rsidRPr="001637AC" w:rsidDel="001C41D7" w:rsidRDefault="00670966" w:rsidP="00996930">
            <w:pPr>
              <w:jc w:val="center"/>
            </w:pPr>
            <w:r>
              <w:t>79%</w:t>
            </w:r>
          </w:p>
        </w:tc>
        <w:tc>
          <w:tcPr>
            <w:tcW w:w="1440" w:type="dxa"/>
            <w:shd w:val="clear" w:color="auto" w:fill="auto"/>
            <w:vAlign w:val="center"/>
          </w:tcPr>
          <w:p w14:paraId="002EA3B0" w14:textId="7DE9C4B9" w:rsidR="00996930" w:rsidRPr="001637AC" w:rsidDel="001C41D7" w:rsidRDefault="005D25CF" w:rsidP="00996930">
            <w:pPr>
              <w:jc w:val="center"/>
            </w:pPr>
            <w:r>
              <w:t>82%</w:t>
            </w:r>
          </w:p>
        </w:tc>
        <w:tc>
          <w:tcPr>
            <w:tcW w:w="1671" w:type="dxa"/>
            <w:shd w:val="clear" w:color="auto" w:fill="auto"/>
            <w:vAlign w:val="center"/>
          </w:tcPr>
          <w:p w14:paraId="184A579A" w14:textId="7077AAB4" w:rsidR="00996930" w:rsidRPr="001637AC" w:rsidDel="001C41D7" w:rsidRDefault="005D25CF" w:rsidP="00996930">
            <w:pPr>
              <w:jc w:val="center"/>
            </w:pPr>
            <w:r>
              <w:t>82%</w:t>
            </w:r>
          </w:p>
        </w:tc>
      </w:tr>
      <w:tr w:rsidR="00996930" w14:paraId="7309418D" w14:textId="77777777" w:rsidTr="572EFD56">
        <w:tc>
          <w:tcPr>
            <w:tcW w:w="3055" w:type="dxa"/>
            <w:shd w:val="clear" w:color="auto" w:fill="auto"/>
            <w:vAlign w:val="center"/>
          </w:tcPr>
          <w:p w14:paraId="496FE5E4" w14:textId="673B54D5" w:rsidR="00996930" w:rsidRDefault="00996930" w:rsidP="00996930">
            <w:r>
              <w:t>The government should make it easy to switch insurers if a health plan drops your doctor</w:t>
            </w:r>
          </w:p>
        </w:tc>
        <w:tc>
          <w:tcPr>
            <w:tcW w:w="1800" w:type="dxa"/>
            <w:shd w:val="clear" w:color="auto" w:fill="auto"/>
            <w:vAlign w:val="center"/>
          </w:tcPr>
          <w:p w14:paraId="64D33417" w14:textId="2987DFB0" w:rsidR="00996930" w:rsidRPr="007437CA" w:rsidRDefault="00996930" w:rsidP="00996930">
            <w:pPr>
              <w:jc w:val="center"/>
            </w:pPr>
            <w:r>
              <w:t>87</w:t>
            </w:r>
            <w:r w:rsidRPr="00012CA7">
              <w:t>%</w:t>
            </w:r>
          </w:p>
        </w:tc>
        <w:tc>
          <w:tcPr>
            <w:tcW w:w="1620" w:type="dxa"/>
            <w:shd w:val="clear" w:color="auto" w:fill="auto"/>
            <w:vAlign w:val="center"/>
          </w:tcPr>
          <w:p w14:paraId="15825583" w14:textId="2A93151D" w:rsidR="00996930" w:rsidRPr="007437CA" w:rsidRDefault="00996930" w:rsidP="00996930">
            <w:pPr>
              <w:jc w:val="center"/>
            </w:pPr>
            <w:r>
              <w:t>88</w:t>
            </w:r>
            <w:r w:rsidRPr="00012CA7">
              <w:t>%</w:t>
            </w:r>
          </w:p>
        </w:tc>
        <w:tc>
          <w:tcPr>
            <w:tcW w:w="1440" w:type="dxa"/>
            <w:shd w:val="clear" w:color="auto" w:fill="auto"/>
            <w:vAlign w:val="center"/>
          </w:tcPr>
          <w:p w14:paraId="44173F6F" w14:textId="7F89D3D7" w:rsidR="00996930" w:rsidRPr="007437CA" w:rsidRDefault="00996930" w:rsidP="00996930">
            <w:pPr>
              <w:jc w:val="center"/>
            </w:pPr>
            <w:r>
              <w:t>85</w:t>
            </w:r>
            <w:r w:rsidRPr="00012CA7">
              <w:t>%</w:t>
            </w:r>
          </w:p>
        </w:tc>
        <w:tc>
          <w:tcPr>
            <w:tcW w:w="1671" w:type="dxa"/>
            <w:shd w:val="clear" w:color="auto" w:fill="auto"/>
            <w:vAlign w:val="center"/>
          </w:tcPr>
          <w:p w14:paraId="4AE94BAE" w14:textId="18883492" w:rsidR="00996930" w:rsidRPr="007437CA" w:rsidRDefault="00996930" w:rsidP="00996930">
            <w:pPr>
              <w:jc w:val="center"/>
            </w:pPr>
            <w:r>
              <w:t>87</w:t>
            </w:r>
            <w:r w:rsidRPr="00012CA7">
              <w:t>%</w:t>
            </w:r>
          </w:p>
        </w:tc>
      </w:tr>
      <w:tr w:rsidR="00996930" w14:paraId="2CA921C9" w14:textId="77777777" w:rsidTr="572EFD56">
        <w:tc>
          <w:tcPr>
            <w:tcW w:w="3055" w:type="dxa"/>
            <w:shd w:val="clear" w:color="auto" w:fill="auto"/>
            <w:vAlign w:val="center"/>
          </w:tcPr>
          <w:p w14:paraId="28C1ED50" w14:textId="77777777" w:rsidR="00996930" w:rsidRDefault="00996930" w:rsidP="00996930">
            <w:r>
              <w:t>The government should show what a fair price would be for specific procedures</w:t>
            </w:r>
          </w:p>
        </w:tc>
        <w:tc>
          <w:tcPr>
            <w:tcW w:w="1800" w:type="dxa"/>
            <w:shd w:val="clear" w:color="auto" w:fill="auto"/>
            <w:vAlign w:val="center"/>
          </w:tcPr>
          <w:p w14:paraId="32B9D0BC" w14:textId="3311A74A" w:rsidR="00996930" w:rsidRPr="00012CA7" w:rsidRDefault="00996930" w:rsidP="00996930">
            <w:pPr>
              <w:jc w:val="center"/>
            </w:pPr>
            <w:r>
              <w:t>86</w:t>
            </w:r>
            <w:r w:rsidRPr="00012CA7">
              <w:t>%</w:t>
            </w:r>
          </w:p>
        </w:tc>
        <w:tc>
          <w:tcPr>
            <w:tcW w:w="1620" w:type="dxa"/>
            <w:shd w:val="clear" w:color="auto" w:fill="auto"/>
            <w:vAlign w:val="center"/>
          </w:tcPr>
          <w:p w14:paraId="1D897864" w14:textId="7A546D26" w:rsidR="00996930" w:rsidRPr="00012CA7" w:rsidRDefault="00996930" w:rsidP="00996930">
            <w:pPr>
              <w:jc w:val="center"/>
            </w:pPr>
            <w:r>
              <w:t>88</w:t>
            </w:r>
            <w:r w:rsidRPr="00012CA7">
              <w:t>%</w:t>
            </w:r>
          </w:p>
        </w:tc>
        <w:tc>
          <w:tcPr>
            <w:tcW w:w="1440" w:type="dxa"/>
            <w:shd w:val="clear" w:color="auto" w:fill="auto"/>
            <w:vAlign w:val="center"/>
          </w:tcPr>
          <w:p w14:paraId="3DDC61BB" w14:textId="74F9FD56" w:rsidR="00996930" w:rsidRPr="00012CA7" w:rsidRDefault="00996930" w:rsidP="00996930">
            <w:pPr>
              <w:jc w:val="center"/>
            </w:pPr>
            <w:r>
              <w:t>83</w:t>
            </w:r>
            <w:r w:rsidRPr="00012CA7">
              <w:t>%</w:t>
            </w:r>
          </w:p>
        </w:tc>
        <w:tc>
          <w:tcPr>
            <w:tcW w:w="1671" w:type="dxa"/>
            <w:shd w:val="clear" w:color="auto" w:fill="auto"/>
            <w:vAlign w:val="center"/>
          </w:tcPr>
          <w:p w14:paraId="4A9E0EC3" w14:textId="7FF59ECD" w:rsidR="00996930" w:rsidRPr="00012CA7" w:rsidRDefault="00996930" w:rsidP="00996930">
            <w:pPr>
              <w:jc w:val="center"/>
            </w:pPr>
            <w:r>
              <w:t>87</w:t>
            </w:r>
            <w:r w:rsidRPr="00012CA7">
              <w:t>%</w:t>
            </w:r>
          </w:p>
        </w:tc>
      </w:tr>
      <w:tr w:rsidR="00996930" w14:paraId="0BA2A33C" w14:textId="77777777" w:rsidTr="572EFD56">
        <w:tc>
          <w:tcPr>
            <w:tcW w:w="3055" w:type="dxa"/>
            <w:shd w:val="clear" w:color="auto" w:fill="auto"/>
            <w:vAlign w:val="center"/>
          </w:tcPr>
          <w:p w14:paraId="6F81F8C7" w14:textId="62927463" w:rsidR="00996930" w:rsidRDefault="00996930" w:rsidP="00996930">
            <w:r>
              <w:t>The government should require insurers to provide up-front cost estimates to consumers</w:t>
            </w:r>
          </w:p>
        </w:tc>
        <w:tc>
          <w:tcPr>
            <w:tcW w:w="1800" w:type="dxa"/>
            <w:shd w:val="clear" w:color="auto" w:fill="auto"/>
            <w:vAlign w:val="center"/>
          </w:tcPr>
          <w:p w14:paraId="6831E58C" w14:textId="0BF2D8A8" w:rsidR="00996930" w:rsidRPr="00012CA7" w:rsidRDefault="0003487F" w:rsidP="00996930">
            <w:pPr>
              <w:jc w:val="center"/>
            </w:pPr>
            <w:r>
              <w:t>84</w:t>
            </w:r>
            <w:r w:rsidR="00996930" w:rsidRPr="00012CA7">
              <w:t>%</w:t>
            </w:r>
          </w:p>
        </w:tc>
        <w:tc>
          <w:tcPr>
            <w:tcW w:w="1620" w:type="dxa"/>
            <w:shd w:val="clear" w:color="auto" w:fill="auto"/>
            <w:vAlign w:val="center"/>
          </w:tcPr>
          <w:p w14:paraId="5D40246B" w14:textId="6600BD0E" w:rsidR="00996930" w:rsidRPr="00012CA7" w:rsidRDefault="0003487F" w:rsidP="00996930">
            <w:pPr>
              <w:jc w:val="center"/>
            </w:pPr>
            <w:r>
              <w:t>87</w:t>
            </w:r>
            <w:r w:rsidR="00996930" w:rsidRPr="00012CA7">
              <w:t>%</w:t>
            </w:r>
          </w:p>
        </w:tc>
        <w:tc>
          <w:tcPr>
            <w:tcW w:w="1440" w:type="dxa"/>
            <w:shd w:val="clear" w:color="auto" w:fill="auto"/>
            <w:vAlign w:val="center"/>
          </w:tcPr>
          <w:p w14:paraId="00C200AE" w14:textId="57760B45" w:rsidR="00996930" w:rsidRPr="00012CA7" w:rsidRDefault="0003487F" w:rsidP="00996930">
            <w:pPr>
              <w:jc w:val="center"/>
            </w:pPr>
            <w:r>
              <w:t>82</w:t>
            </w:r>
            <w:r w:rsidR="00996930" w:rsidRPr="00012CA7">
              <w:t>%</w:t>
            </w:r>
          </w:p>
        </w:tc>
        <w:tc>
          <w:tcPr>
            <w:tcW w:w="1671" w:type="dxa"/>
            <w:shd w:val="clear" w:color="auto" w:fill="auto"/>
            <w:vAlign w:val="center"/>
          </w:tcPr>
          <w:p w14:paraId="2DA0C497" w14:textId="0CA3A3F7" w:rsidR="00996930" w:rsidRPr="00012CA7" w:rsidRDefault="0003487F" w:rsidP="00996930">
            <w:pPr>
              <w:jc w:val="center"/>
            </w:pPr>
            <w:r>
              <w:t>84</w:t>
            </w:r>
            <w:r w:rsidR="00996930" w:rsidRPr="00012CA7">
              <w:t>%</w:t>
            </w:r>
          </w:p>
        </w:tc>
      </w:tr>
      <w:tr w:rsidR="00996930" w14:paraId="34E54E62" w14:textId="77777777" w:rsidTr="572EFD56">
        <w:tc>
          <w:tcPr>
            <w:tcW w:w="3055" w:type="dxa"/>
            <w:shd w:val="clear" w:color="auto" w:fill="auto"/>
            <w:vAlign w:val="center"/>
          </w:tcPr>
          <w:p w14:paraId="0C56589C" w14:textId="73004249" w:rsidR="00996930" w:rsidRDefault="00996930" w:rsidP="00996930">
            <w:r>
              <w:t xml:space="preserve">The government should require hospitals and doctors to provide </w:t>
            </w:r>
            <w:r w:rsidR="00BA1174">
              <w:t>up-front cost estimates to consumers</w:t>
            </w:r>
          </w:p>
        </w:tc>
        <w:tc>
          <w:tcPr>
            <w:tcW w:w="1800" w:type="dxa"/>
            <w:shd w:val="clear" w:color="auto" w:fill="auto"/>
            <w:vAlign w:val="center"/>
          </w:tcPr>
          <w:p w14:paraId="67920254" w14:textId="1BEDE5AC" w:rsidR="00996930" w:rsidRDefault="00996930" w:rsidP="00996930">
            <w:pPr>
              <w:jc w:val="center"/>
            </w:pPr>
            <w:r>
              <w:t>85%</w:t>
            </w:r>
          </w:p>
        </w:tc>
        <w:tc>
          <w:tcPr>
            <w:tcW w:w="1620" w:type="dxa"/>
            <w:shd w:val="clear" w:color="auto" w:fill="auto"/>
            <w:vAlign w:val="center"/>
          </w:tcPr>
          <w:p w14:paraId="6770506B" w14:textId="3C5FD0F5" w:rsidR="00996930" w:rsidRDefault="00996930" w:rsidP="00996930">
            <w:pPr>
              <w:jc w:val="center"/>
            </w:pPr>
            <w:r>
              <w:t>86%</w:t>
            </w:r>
          </w:p>
        </w:tc>
        <w:tc>
          <w:tcPr>
            <w:tcW w:w="1440" w:type="dxa"/>
            <w:shd w:val="clear" w:color="auto" w:fill="auto"/>
            <w:vAlign w:val="center"/>
          </w:tcPr>
          <w:p w14:paraId="5AC9F508" w14:textId="2084F3AA" w:rsidR="00996930" w:rsidRDefault="00996930" w:rsidP="00996930">
            <w:pPr>
              <w:jc w:val="center"/>
            </w:pPr>
            <w:r>
              <w:t>82%</w:t>
            </w:r>
          </w:p>
        </w:tc>
        <w:tc>
          <w:tcPr>
            <w:tcW w:w="1671" w:type="dxa"/>
            <w:shd w:val="clear" w:color="auto" w:fill="auto"/>
            <w:vAlign w:val="center"/>
          </w:tcPr>
          <w:p w14:paraId="10CA1DC8" w14:textId="2E7DF0E2" w:rsidR="00996930" w:rsidRDefault="00996930" w:rsidP="00996930">
            <w:pPr>
              <w:jc w:val="center"/>
            </w:pPr>
            <w:r>
              <w:t>86%</w:t>
            </w:r>
          </w:p>
        </w:tc>
      </w:tr>
    </w:tbl>
    <w:p w14:paraId="795CF39F" w14:textId="47A2F24E" w:rsidR="00CD26B7" w:rsidRDefault="00CD26B7" w:rsidP="00CD26B7">
      <w:pPr>
        <w:rPr>
          <w:rFonts w:ascii="BrandonText-RegularItalic"/>
          <w:i/>
          <w:color w:val="231F20"/>
          <w:sz w:val="16"/>
        </w:rPr>
      </w:pPr>
      <w:r>
        <w:rPr>
          <w:rFonts w:ascii="BrandonText-RegularItalic"/>
          <w:i/>
          <w:color w:val="231F20"/>
          <w:sz w:val="16"/>
        </w:rPr>
        <w:t>Source: 20</w:t>
      </w:r>
      <w:r w:rsidR="00F201E3">
        <w:rPr>
          <w:rFonts w:ascii="BrandonText-RegularItalic"/>
          <w:i/>
          <w:color w:val="231F20"/>
          <w:sz w:val="16"/>
        </w:rPr>
        <w:t>21</w:t>
      </w:r>
      <w:r>
        <w:rPr>
          <w:rFonts w:ascii="BrandonText-RegularItalic"/>
          <w:i/>
          <w:color w:val="231F20"/>
          <w:sz w:val="16"/>
        </w:rPr>
        <w:t xml:space="preserve"> Pol</w:t>
      </w:r>
      <w:r w:rsidR="00996930">
        <w:rPr>
          <w:rFonts w:ascii="BrandonText-RegularItalic"/>
          <w:i/>
          <w:color w:val="231F20"/>
          <w:sz w:val="16"/>
        </w:rPr>
        <w:t>l of Georgia</w:t>
      </w:r>
      <w:r>
        <w:rPr>
          <w:rFonts w:ascii="BrandonText-RegularItalic"/>
          <w:i/>
          <w:color w:val="231F20"/>
          <w:sz w:val="16"/>
        </w:rPr>
        <w:t xml:space="preserve"> Adults, Ages 18+, Altarum Healthcare Value Hub's Consumer </w:t>
      </w:r>
      <w:proofErr w:type="gramStart"/>
      <w:r>
        <w:rPr>
          <w:rFonts w:ascii="BrandonText-RegularItalic"/>
          <w:i/>
          <w:color w:val="231F20"/>
          <w:sz w:val="16"/>
        </w:rPr>
        <w:t xml:space="preserve">Healthcare </w:t>
      </w:r>
      <w:r w:rsidR="00AA13B7" w:rsidRPr="00AA13B7">
        <w:rPr>
          <w:rFonts w:ascii="BrandonText-RegularItalic"/>
          <w:i/>
          <w:color w:val="231F20"/>
          <w:sz w:val="16"/>
          <w:szCs w:val="16"/>
        </w:rPr>
        <w:t xml:space="preserve"> </w:t>
      </w:r>
      <w:r w:rsidR="00AA13B7">
        <w:rPr>
          <w:rFonts w:ascii="BrandonText-RegularItalic"/>
          <w:i/>
          <w:color w:val="231F20"/>
          <w:sz w:val="16"/>
          <w:szCs w:val="16"/>
        </w:rPr>
        <w:t>Experience</w:t>
      </w:r>
      <w:proofErr w:type="gramEnd"/>
      <w:r w:rsidR="00AA13B7">
        <w:rPr>
          <w:rFonts w:ascii="BrandonText-RegularItalic"/>
          <w:i/>
          <w:color w:val="231F20"/>
          <w:sz w:val="16"/>
          <w:szCs w:val="16"/>
        </w:rPr>
        <w:t xml:space="preserve"> State Survey</w:t>
      </w:r>
    </w:p>
    <w:p w14:paraId="78E733C9" w14:textId="77777777" w:rsidR="00CD26B7" w:rsidRDefault="00CD26B7" w:rsidP="00CD26B7">
      <w:pPr>
        <w:rPr>
          <w:b/>
        </w:rPr>
      </w:pPr>
    </w:p>
    <w:p w14:paraId="7DFB1381" w14:textId="65DA0B0F" w:rsidR="00CD26B7" w:rsidRDefault="00CD26B7" w:rsidP="00CD26B7">
      <w:commentRangeStart w:id="2"/>
      <w:r>
        <w:rPr>
          <w:b/>
        </w:rPr>
        <w:lastRenderedPageBreak/>
        <w:t>Table 4</w:t>
      </w:r>
      <w:r w:rsidRPr="003E6878">
        <w:rPr>
          <w:b/>
        </w:rPr>
        <w:t>:</w:t>
      </w:r>
      <w:r>
        <w:t xml:space="preserve"> </w:t>
      </w:r>
      <w:r>
        <w:rPr>
          <w:b/>
          <w:bCs/>
          <w:color w:val="231F20"/>
        </w:rPr>
        <w:t>Percent Who Agreed/Strongly Agreed About Actions to Take Regarding Prescription Drugs, by Political Affiliation</w:t>
      </w:r>
    </w:p>
    <w:tbl>
      <w:tblPr>
        <w:tblStyle w:val="TableGrid"/>
        <w:tblW w:w="9586" w:type="dxa"/>
        <w:tblLook w:val="04A0" w:firstRow="1" w:lastRow="0" w:firstColumn="1" w:lastColumn="0" w:noHBand="0" w:noVBand="1"/>
      </w:tblPr>
      <w:tblGrid>
        <w:gridCol w:w="3055"/>
        <w:gridCol w:w="1800"/>
        <w:gridCol w:w="1620"/>
        <w:gridCol w:w="1440"/>
        <w:gridCol w:w="1671"/>
      </w:tblGrid>
      <w:tr w:rsidR="00CD26B7" w14:paraId="54610A71" w14:textId="77777777" w:rsidTr="007D1D09">
        <w:trPr>
          <w:tblHeader/>
        </w:trPr>
        <w:tc>
          <w:tcPr>
            <w:tcW w:w="3055" w:type="dxa"/>
            <w:vMerge w:val="restart"/>
            <w:shd w:val="clear" w:color="auto" w:fill="B4C6E7" w:themeFill="accent1" w:themeFillTint="66"/>
          </w:tcPr>
          <w:p w14:paraId="2428444F" w14:textId="794808C8" w:rsidR="00CD26B7" w:rsidRPr="00334CB3" w:rsidRDefault="00CD26B7" w:rsidP="007D1D09">
            <w:pPr>
              <w:rPr>
                <w:b/>
              </w:rPr>
            </w:pPr>
            <w:r w:rsidRPr="001517F6">
              <w:rPr>
                <w:b/>
              </w:rPr>
              <w:t>Selected Questions</w:t>
            </w:r>
            <w:r w:rsidR="00D45C6E">
              <w:rPr>
                <w:b/>
              </w:rPr>
              <w:t>/Statements</w:t>
            </w:r>
            <w:r w:rsidRPr="00334CB3">
              <w:rPr>
                <w:b/>
              </w:rPr>
              <w:t xml:space="preserve">: </w:t>
            </w:r>
          </w:p>
        </w:tc>
        <w:tc>
          <w:tcPr>
            <w:tcW w:w="1800" w:type="dxa"/>
            <w:vMerge w:val="restart"/>
            <w:shd w:val="clear" w:color="auto" w:fill="B4C6E7" w:themeFill="accent1" w:themeFillTint="66"/>
          </w:tcPr>
          <w:p w14:paraId="37D15BB3" w14:textId="77777777" w:rsidR="00CD26B7" w:rsidRDefault="00CD26B7" w:rsidP="007D1D09">
            <w:pPr>
              <w:jc w:val="center"/>
              <w:rPr>
                <w:b/>
              </w:rPr>
            </w:pPr>
          </w:p>
          <w:p w14:paraId="75B7A310" w14:textId="77777777" w:rsidR="00CD26B7" w:rsidRPr="00334CB3" w:rsidRDefault="00CD26B7" w:rsidP="007D1D09">
            <w:pPr>
              <w:jc w:val="center"/>
              <w:rPr>
                <w:b/>
              </w:rPr>
            </w:pPr>
            <w:r w:rsidRPr="00334CB3">
              <w:rPr>
                <w:b/>
              </w:rPr>
              <w:t>Total</w:t>
            </w:r>
          </w:p>
        </w:tc>
        <w:tc>
          <w:tcPr>
            <w:tcW w:w="4731" w:type="dxa"/>
            <w:gridSpan w:val="3"/>
            <w:shd w:val="clear" w:color="auto" w:fill="B4C6E7" w:themeFill="accent1" w:themeFillTint="66"/>
          </w:tcPr>
          <w:p w14:paraId="20F79021" w14:textId="77777777" w:rsidR="00CD26B7" w:rsidRPr="00334CB3" w:rsidRDefault="00CD26B7" w:rsidP="007D1D09">
            <w:pPr>
              <w:jc w:val="center"/>
              <w:rPr>
                <w:b/>
              </w:rPr>
            </w:pPr>
            <w:r>
              <w:rPr>
                <w:b/>
              </w:rPr>
              <w:t>Generally speaking, do you think of yourself as…</w:t>
            </w:r>
          </w:p>
        </w:tc>
      </w:tr>
      <w:tr w:rsidR="00CD26B7" w14:paraId="2A40DC1E" w14:textId="77777777" w:rsidTr="007D1D09">
        <w:trPr>
          <w:tblHeader/>
        </w:trPr>
        <w:tc>
          <w:tcPr>
            <w:tcW w:w="3055" w:type="dxa"/>
            <w:vMerge/>
            <w:shd w:val="clear" w:color="auto" w:fill="B4C6E7" w:themeFill="accent1" w:themeFillTint="66"/>
          </w:tcPr>
          <w:p w14:paraId="29DA83B1" w14:textId="77777777" w:rsidR="00CD26B7" w:rsidRPr="00334CB3" w:rsidRDefault="00CD26B7" w:rsidP="007D1D09">
            <w:pPr>
              <w:rPr>
                <w:b/>
              </w:rPr>
            </w:pPr>
          </w:p>
        </w:tc>
        <w:tc>
          <w:tcPr>
            <w:tcW w:w="1800" w:type="dxa"/>
            <w:vMerge/>
            <w:shd w:val="clear" w:color="auto" w:fill="B4C6E7" w:themeFill="accent1" w:themeFillTint="66"/>
          </w:tcPr>
          <w:p w14:paraId="3EFAF3B2" w14:textId="77777777" w:rsidR="00CD26B7" w:rsidRPr="00334CB3" w:rsidRDefault="00CD26B7" w:rsidP="007D1D09">
            <w:pPr>
              <w:jc w:val="center"/>
              <w:rPr>
                <w:b/>
              </w:rPr>
            </w:pPr>
          </w:p>
        </w:tc>
        <w:tc>
          <w:tcPr>
            <w:tcW w:w="1620" w:type="dxa"/>
            <w:shd w:val="clear" w:color="auto" w:fill="B4C6E7" w:themeFill="accent1" w:themeFillTint="66"/>
          </w:tcPr>
          <w:p w14:paraId="3C63B7B3" w14:textId="77777777" w:rsidR="00CD26B7" w:rsidRPr="00334CB3" w:rsidRDefault="00CD26B7" w:rsidP="007D1D09">
            <w:pPr>
              <w:jc w:val="center"/>
              <w:rPr>
                <w:b/>
              </w:rPr>
            </w:pPr>
            <w:r w:rsidRPr="00334CB3">
              <w:rPr>
                <w:b/>
              </w:rPr>
              <w:t>Republican</w:t>
            </w:r>
          </w:p>
        </w:tc>
        <w:tc>
          <w:tcPr>
            <w:tcW w:w="1440" w:type="dxa"/>
            <w:shd w:val="clear" w:color="auto" w:fill="B4C6E7" w:themeFill="accent1" w:themeFillTint="66"/>
          </w:tcPr>
          <w:p w14:paraId="588B252B" w14:textId="77777777" w:rsidR="00CD26B7" w:rsidRPr="00334CB3" w:rsidRDefault="00CD26B7" w:rsidP="007D1D09">
            <w:pPr>
              <w:jc w:val="center"/>
              <w:rPr>
                <w:b/>
              </w:rPr>
            </w:pPr>
            <w:r w:rsidRPr="00334CB3">
              <w:rPr>
                <w:b/>
              </w:rPr>
              <w:t>Democrat</w:t>
            </w:r>
          </w:p>
        </w:tc>
        <w:tc>
          <w:tcPr>
            <w:tcW w:w="1671" w:type="dxa"/>
            <w:shd w:val="clear" w:color="auto" w:fill="B4C6E7" w:themeFill="accent1" w:themeFillTint="66"/>
          </w:tcPr>
          <w:p w14:paraId="6D1DC5F9" w14:textId="77777777" w:rsidR="00CD26B7" w:rsidRPr="00334CB3" w:rsidRDefault="00CD26B7" w:rsidP="007D1D09">
            <w:pPr>
              <w:jc w:val="center"/>
              <w:rPr>
                <w:b/>
              </w:rPr>
            </w:pPr>
            <w:r w:rsidRPr="00334CB3">
              <w:rPr>
                <w:b/>
              </w:rPr>
              <w:t>Neither</w:t>
            </w:r>
          </w:p>
        </w:tc>
      </w:tr>
      <w:tr w:rsidR="00CD26B7" w14:paraId="61CF562C" w14:textId="77777777" w:rsidTr="007D1D09">
        <w:tc>
          <w:tcPr>
            <w:tcW w:w="3055" w:type="dxa"/>
            <w:shd w:val="clear" w:color="auto" w:fill="auto"/>
            <w:vAlign w:val="center"/>
          </w:tcPr>
          <w:p w14:paraId="15492BB7" w14:textId="77777777" w:rsidR="00CD26B7" w:rsidRDefault="00CD26B7" w:rsidP="007D1D09">
            <w:r>
              <w:t>The government should authorize the Attorney General to take legal action to prevent price gouging or unfair prescription drug price hikes</w:t>
            </w:r>
          </w:p>
        </w:tc>
        <w:tc>
          <w:tcPr>
            <w:tcW w:w="1800" w:type="dxa"/>
            <w:shd w:val="clear" w:color="auto" w:fill="auto"/>
            <w:vAlign w:val="center"/>
          </w:tcPr>
          <w:p w14:paraId="331EC387" w14:textId="51FA1613" w:rsidR="00CD26B7" w:rsidRPr="00012CA7" w:rsidRDefault="0003487F" w:rsidP="007D1D09">
            <w:pPr>
              <w:jc w:val="center"/>
            </w:pPr>
            <w:r>
              <w:t>84</w:t>
            </w:r>
            <w:r w:rsidR="00CD26B7" w:rsidRPr="00012CA7">
              <w:t>%</w:t>
            </w:r>
          </w:p>
          <w:p w14:paraId="3E3FE6CA" w14:textId="77777777" w:rsidR="00CD26B7" w:rsidRPr="00012CA7" w:rsidRDefault="00CD26B7" w:rsidP="007D1D09">
            <w:pPr>
              <w:jc w:val="center"/>
            </w:pPr>
          </w:p>
        </w:tc>
        <w:tc>
          <w:tcPr>
            <w:tcW w:w="1620" w:type="dxa"/>
            <w:shd w:val="clear" w:color="auto" w:fill="auto"/>
            <w:vAlign w:val="center"/>
          </w:tcPr>
          <w:p w14:paraId="34859792" w14:textId="472BC99C" w:rsidR="00CD26B7" w:rsidRPr="00012CA7" w:rsidRDefault="00826995" w:rsidP="007D1D09">
            <w:pPr>
              <w:jc w:val="center"/>
            </w:pPr>
            <w:r>
              <w:t>81</w:t>
            </w:r>
            <w:r w:rsidR="00CD26B7" w:rsidRPr="00012CA7">
              <w:t>%</w:t>
            </w:r>
          </w:p>
          <w:p w14:paraId="04147AC2" w14:textId="77777777" w:rsidR="00CD26B7" w:rsidRPr="00012CA7" w:rsidRDefault="00CD26B7" w:rsidP="007D1D09">
            <w:pPr>
              <w:jc w:val="center"/>
            </w:pPr>
          </w:p>
        </w:tc>
        <w:tc>
          <w:tcPr>
            <w:tcW w:w="1440" w:type="dxa"/>
            <w:shd w:val="clear" w:color="auto" w:fill="auto"/>
            <w:vAlign w:val="center"/>
          </w:tcPr>
          <w:p w14:paraId="20B6193A" w14:textId="6731268F" w:rsidR="00CD26B7" w:rsidRPr="00012CA7" w:rsidRDefault="00826995" w:rsidP="007D1D09">
            <w:pPr>
              <w:jc w:val="center"/>
            </w:pPr>
            <w:r>
              <w:t>85</w:t>
            </w:r>
            <w:r w:rsidR="00CD26B7" w:rsidRPr="00012CA7">
              <w:t>%</w:t>
            </w:r>
          </w:p>
          <w:p w14:paraId="04F29B1E" w14:textId="77777777" w:rsidR="00CD26B7" w:rsidRPr="00012CA7" w:rsidRDefault="00CD26B7" w:rsidP="007D1D09">
            <w:pPr>
              <w:jc w:val="center"/>
            </w:pPr>
          </w:p>
        </w:tc>
        <w:tc>
          <w:tcPr>
            <w:tcW w:w="1671" w:type="dxa"/>
            <w:shd w:val="clear" w:color="auto" w:fill="auto"/>
            <w:vAlign w:val="center"/>
          </w:tcPr>
          <w:p w14:paraId="6A358797" w14:textId="15CF2923" w:rsidR="00CD26B7" w:rsidRPr="00012CA7" w:rsidRDefault="00826995" w:rsidP="007D1D09">
            <w:pPr>
              <w:jc w:val="center"/>
            </w:pPr>
            <w:r>
              <w:t>85</w:t>
            </w:r>
            <w:r w:rsidR="00CD26B7" w:rsidRPr="00012CA7">
              <w:t>%</w:t>
            </w:r>
          </w:p>
          <w:p w14:paraId="229FA6D1" w14:textId="77777777" w:rsidR="00CD26B7" w:rsidRPr="00012CA7" w:rsidRDefault="00CD26B7" w:rsidP="007D1D09">
            <w:pPr>
              <w:jc w:val="center"/>
            </w:pPr>
          </w:p>
        </w:tc>
      </w:tr>
      <w:tr w:rsidR="00CD26B7" w14:paraId="06116EF3" w14:textId="77777777" w:rsidTr="007D1D09">
        <w:tc>
          <w:tcPr>
            <w:tcW w:w="3055" w:type="dxa"/>
            <w:shd w:val="clear" w:color="auto" w:fill="auto"/>
            <w:vAlign w:val="center"/>
          </w:tcPr>
          <w:p w14:paraId="1151C5B8" w14:textId="77777777" w:rsidR="00CD26B7" w:rsidRDefault="00CD26B7" w:rsidP="007D1D09">
            <w:r>
              <w:t>The government should require drug companies to provide advanced notice of price increases and information to justify those increases</w:t>
            </w:r>
            <w:r w:rsidDel="00B758E4">
              <w:t xml:space="preserve"> </w:t>
            </w:r>
          </w:p>
        </w:tc>
        <w:tc>
          <w:tcPr>
            <w:tcW w:w="1800" w:type="dxa"/>
            <w:shd w:val="clear" w:color="auto" w:fill="auto"/>
            <w:vAlign w:val="center"/>
          </w:tcPr>
          <w:p w14:paraId="091AD227" w14:textId="4CC88FDC" w:rsidR="00CD26B7" w:rsidRPr="00012CA7" w:rsidRDefault="0003487F" w:rsidP="007D1D09">
            <w:pPr>
              <w:jc w:val="center"/>
            </w:pPr>
            <w:r>
              <w:t>84</w:t>
            </w:r>
            <w:r w:rsidR="00CD26B7" w:rsidRPr="00012CA7">
              <w:t>%</w:t>
            </w:r>
          </w:p>
          <w:p w14:paraId="64FCDF62" w14:textId="77777777" w:rsidR="00CD26B7" w:rsidRPr="00012CA7" w:rsidRDefault="00CD26B7" w:rsidP="007D1D09">
            <w:pPr>
              <w:jc w:val="center"/>
            </w:pPr>
          </w:p>
        </w:tc>
        <w:tc>
          <w:tcPr>
            <w:tcW w:w="1620" w:type="dxa"/>
            <w:shd w:val="clear" w:color="auto" w:fill="auto"/>
            <w:vAlign w:val="center"/>
          </w:tcPr>
          <w:p w14:paraId="54129BCD" w14:textId="491F00C2" w:rsidR="00CD26B7" w:rsidRPr="00012CA7" w:rsidRDefault="00826995" w:rsidP="007D1D09">
            <w:pPr>
              <w:jc w:val="center"/>
            </w:pPr>
            <w:r>
              <w:t>83</w:t>
            </w:r>
            <w:r w:rsidR="00CD26B7" w:rsidRPr="00012CA7">
              <w:t>%</w:t>
            </w:r>
          </w:p>
          <w:p w14:paraId="68EFE235" w14:textId="77777777" w:rsidR="00CD26B7" w:rsidRPr="00012CA7" w:rsidRDefault="00CD26B7" w:rsidP="007D1D09">
            <w:pPr>
              <w:jc w:val="center"/>
            </w:pPr>
          </w:p>
        </w:tc>
        <w:tc>
          <w:tcPr>
            <w:tcW w:w="1440" w:type="dxa"/>
            <w:shd w:val="clear" w:color="auto" w:fill="auto"/>
            <w:vAlign w:val="center"/>
          </w:tcPr>
          <w:p w14:paraId="55C60A2E" w14:textId="7C969776" w:rsidR="00CD26B7" w:rsidRPr="00012CA7" w:rsidRDefault="00826995" w:rsidP="007D1D09">
            <w:pPr>
              <w:jc w:val="center"/>
            </w:pPr>
            <w:r>
              <w:t>84</w:t>
            </w:r>
            <w:r w:rsidR="00CD26B7" w:rsidRPr="00012CA7">
              <w:t>%</w:t>
            </w:r>
          </w:p>
          <w:p w14:paraId="29817B60" w14:textId="77777777" w:rsidR="00CD26B7" w:rsidRPr="00012CA7" w:rsidRDefault="00CD26B7" w:rsidP="007D1D09">
            <w:pPr>
              <w:jc w:val="center"/>
            </w:pPr>
          </w:p>
        </w:tc>
        <w:tc>
          <w:tcPr>
            <w:tcW w:w="1671" w:type="dxa"/>
            <w:shd w:val="clear" w:color="auto" w:fill="auto"/>
            <w:vAlign w:val="center"/>
          </w:tcPr>
          <w:p w14:paraId="6766E498" w14:textId="13A397D4" w:rsidR="00CD26B7" w:rsidRPr="00012CA7" w:rsidRDefault="00826995" w:rsidP="007D1D09">
            <w:pPr>
              <w:jc w:val="center"/>
            </w:pPr>
            <w:r>
              <w:t>85</w:t>
            </w:r>
            <w:r w:rsidR="00CD26B7" w:rsidRPr="00012CA7">
              <w:t>%</w:t>
            </w:r>
          </w:p>
          <w:p w14:paraId="715C8970" w14:textId="77777777" w:rsidR="00CD26B7" w:rsidRPr="00012CA7" w:rsidRDefault="00CD26B7" w:rsidP="007D1D09">
            <w:pPr>
              <w:jc w:val="center"/>
            </w:pPr>
          </w:p>
        </w:tc>
      </w:tr>
      <w:tr w:rsidR="00235399" w14:paraId="130452BB" w14:textId="77777777" w:rsidTr="007D1D09">
        <w:tc>
          <w:tcPr>
            <w:tcW w:w="3055" w:type="dxa"/>
            <w:shd w:val="clear" w:color="auto" w:fill="auto"/>
            <w:vAlign w:val="center"/>
          </w:tcPr>
          <w:p w14:paraId="6C234A63" w14:textId="724A9480" w:rsidR="00235399" w:rsidRDefault="00235399" w:rsidP="00235399">
            <w:r>
              <w:t xml:space="preserve">The government should set standard prices for drugs to make them affordable </w:t>
            </w:r>
          </w:p>
        </w:tc>
        <w:tc>
          <w:tcPr>
            <w:tcW w:w="1800" w:type="dxa"/>
            <w:shd w:val="clear" w:color="auto" w:fill="auto"/>
            <w:vAlign w:val="center"/>
          </w:tcPr>
          <w:p w14:paraId="322FE79D" w14:textId="76202757" w:rsidR="00235399" w:rsidRPr="00012CA7" w:rsidRDefault="0003487F" w:rsidP="00235399">
            <w:pPr>
              <w:jc w:val="center"/>
            </w:pPr>
            <w:r>
              <w:t>83</w:t>
            </w:r>
            <w:r w:rsidR="00235399" w:rsidRPr="00012CA7">
              <w:t>%</w:t>
            </w:r>
          </w:p>
          <w:p w14:paraId="20E9AF2E" w14:textId="77777777" w:rsidR="00235399" w:rsidRDefault="00235399" w:rsidP="00235399">
            <w:pPr>
              <w:jc w:val="center"/>
            </w:pPr>
          </w:p>
        </w:tc>
        <w:tc>
          <w:tcPr>
            <w:tcW w:w="1620" w:type="dxa"/>
            <w:shd w:val="clear" w:color="auto" w:fill="auto"/>
            <w:vAlign w:val="center"/>
          </w:tcPr>
          <w:p w14:paraId="72D54846" w14:textId="63E36690" w:rsidR="00235399" w:rsidRPr="00012CA7" w:rsidRDefault="00826995" w:rsidP="00235399">
            <w:pPr>
              <w:jc w:val="center"/>
            </w:pPr>
            <w:r>
              <w:t>83</w:t>
            </w:r>
            <w:r w:rsidR="00235399" w:rsidRPr="00012CA7">
              <w:t>%</w:t>
            </w:r>
          </w:p>
          <w:p w14:paraId="3FF22AE3" w14:textId="77777777" w:rsidR="00235399" w:rsidRDefault="00235399" w:rsidP="00235399">
            <w:pPr>
              <w:jc w:val="center"/>
            </w:pPr>
          </w:p>
        </w:tc>
        <w:tc>
          <w:tcPr>
            <w:tcW w:w="1440" w:type="dxa"/>
            <w:shd w:val="clear" w:color="auto" w:fill="auto"/>
            <w:vAlign w:val="center"/>
          </w:tcPr>
          <w:p w14:paraId="7B42A840" w14:textId="6BFBE5ED" w:rsidR="00235399" w:rsidRPr="00012CA7" w:rsidRDefault="00826995" w:rsidP="00235399">
            <w:pPr>
              <w:jc w:val="center"/>
            </w:pPr>
            <w:r>
              <w:t>8</w:t>
            </w:r>
            <w:r w:rsidR="004F3CD1">
              <w:t>4</w:t>
            </w:r>
            <w:r w:rsidR="00235399" w:rsidRPr="00012CA7">
              <w:t>%</w:t>
            </w:r>
          </w:p>
          <w:p w14:paraId="486422A0" w14:textId="77777777" w:rsidR="00235399" w:rsidRDefault="00235399" w:rsidP="00235399">
            <w:pPr>
              <w:jc w:val="center"/>
            </w:pPr>
          </w:p>
        </w:tc>
        <w:tc>
          <w:tcPr>
            <w:tcW w:w="1671" w:type="dxa"/>
            <w:shd w:val="clear" w:color="auto" w:fill="auto"/>
            <w:vAlign w:val="center"/>
          </w:tcPr>
          <w:p w14:paraId="473DA526" w14:textId="25ED4AFD" w:rsidR="00235399" w:rsidRPr="00012CA7" w:rsidRDefault="00826995" w:rsidP="00235399">
            <w:pPr>
              <w:jc w:val="center"/>
            </w:pPr>
            <w:r>
              <w:t>82</w:t>
            </w:r>
            <w:r w:rsidR="00235399" w:rsidRPr="00012CA7">
              <w:t>%</w:t>
            </w:r>
          </w:p>
          <w:p w14:paraId="44913E00" w14:textId="77777777" w:rsidR="00235399" w:rsidRDefault="00235399" w:rsidP="002037E4">
            <w:pPr>
              <w:keepNext/>
              <w:jc w:val="center"/>
            </w:pPr>
          </w:p>
        </w:tc>
      </w:tr>
    </w:tbl>
    <w:p w14:paraId="710EF6F1" w14:textId="2EEBCCDA" w:rsidR="00CD26B7" w:rsidRDefault="0003487F" w:rsidP="0094190A">
      <w:pPr>
        <w:pStyle w:val="Caption"/>
      </w:pPr>
      <w:r>
        <w:t>Source: 2021 Poll of Georgia</w:t>
      </w:r>
      <w:r w:rsidR="00DB42A6" w:rsidRPr="00EE5BCB">
        <w:t xml:space="preserve"> Adults, Ages 18+, Altarum Healthcare Value Hub's Consumer Healthcare</w:t>
      </w:r>
      <w:commentRangeEnd w:id="2"/>
      <w:r w:rsidR="00A85535">
        <w:rPr>
          <w:rStyle w:val="CommentReference"/>
          <w:i w:val="0"/>
          <w:iCs w:val="0"/>
          <w:color w:val="auto"/>
        </w:rPr>
        <w:commentReference w:id="2"/>
      </w:r>
      <w:r w:rsidR="00AA13B7">
        <w:t xml:space="preserve"> </w:t>
      </w:r>
      <w:r w:rsidR="00AA13B7">
        <w:rPr>
          <w:rFonts w:ascii="BrandonText-RegularItalic"/>
          <w:color w:val="231F20"/>
          <w:sz w:val="16"/>
          <w:szCs w:val="16"/>
        </w:rPr>
        <w:t>Experience State Survey</w:t>
      </w:r>
    </w:p>
    <w:p w14:paraId="7064508C" w14:textId="77777777" w:rsidR="00235399" w:rsidRDefault="00235399" w:rsidP="00235399">
      <w:pPr>
        <w:pStyle w:val="SubHead"/>
      </w:pPr>
      <w:r>
        <w:t>Policies to Address COVID Concerns</w:t>
      </w:r>
    </w:p>
    <w:p w14:paraId="5372FC26" w14:textId="5E629753" w:rsidR="00235399" w:rsidRPr="001C6207" w:rsidRDefault="00235399" w:rsidP="00235399">
      <w:pPr>
        <w:pStyle w:val="BodyFirstGraph"/>
      </w:pPr>
      <w:r>
        <w:t xml:space="preserve">In addition to </w:t>
      </w:r>
      <w:r w:rsidR="0003325A">
        <w:t xml:space="preserve">their </w:t>
      </w:r>
      <w:r>
        <w:t xml:space="preserve">views on the policies and approaches above, </w:t>
      </w:r>
      <w:r w:rsidR="00E65EFF">
        <w:t>respondents</w:t>
      </w:r>
      <w:r>
        <w:t xml:space="preserve"> were asked about support for and against policies related to the COVID crisis. Out of eleven possible responses, respondents were asked to pick the </w:t>
      </w:r>
      <w:r w:rsidRPr="00BB4EF5">
        <w:rPr>
          <w:rFonts w:ascii="Brandon Text Medium" w:hAnsi="Brandon Text Medium" w:cs="Brandon Text Medium"/>
          <w:b/>
          <w:bCs/>
        </w:rPr>
        <w:t>top three</w:t>
      </w:r>
      <w:r>
        <w:t xml:space="preserve"> policies that would help address COVID-related problems. There was significant diversity in the policies supported, with the highest percentages of respondents selecting </w:t>
      </w:r>
      <w:r>
        <w:rPr>
          <w:rFonts w:ascii="Minion Pro" w:hAnsi="Minion Pro" w:cs="Minion Pro"/>
        </w:rPr>
        <w:t>“</w:t>
      </w:r>
      <w:r>
        <w:rPr>
          <w:i/>
          <w:iCs/>
        </w:rPr>
        <w:t>Additional Federal stimulus</w:t>
      </w:r>
      <w:r w:rsidR="53D3C4DF" w:rsidRPr="191F9C62">
        <w:rPr>
          <w:i/>
          <w:iCs/>
        </w:rPr>
        <w:t xml:space="preserve"> payments</w:t>
      </w:r>
      <w:r w:rsidR="5A5A6AE5" w:rsidRPr="191F9C62">
        <w:rPr>
          <w:rFonts w:ascii="Minion Pro" w:hAnsi="Minion Pro" w:cs="Minion Pro"/>
        </w:rPr>
        <w:t>”</w:t>
      </w:r>
      <w:r w:rsidR="00CA64D0">
        <w:rPr>
          <w:rFonts w:ascii="Minion Pro" w:hAnsi="Minion Pro" w:cs="Minion Pro"/>
        </w:rPr>
        <w:t xml:space="preserve"> and “</w:t>
      </w:r>
      <w:r w:rsidR="00CA64D0">
        <w:rPr>
          <w:i/>
          <w:iCs/>
        </w:rPr>
        <w:t>More financial help for small businesses</w:t>
      </w:r>
      <w:r w:rsidR="00CA64D0">
        <w:rPr>
          <w:rFonts w:ascii="Minion Pro" w:hAnsi="Minion Pro" w:cs="Minion Pro"/>
        </w:rPr>
        <w:t>”</w:t>
      </w:r>
      <w:r w:rsidR="5A5A6AE5">
        <w:t xml:space="preserve"> as a top </w:t>
      </w:r>
      <w:r w:rsidR="35482DA2">
        <w:t>three</w:t>
      </w:r>
      <w:r w:rsidR="5A5A6AE5">
        <w:t xml:space="preserve"> priority</w:t>
      </w:r>
      <w:r w:rsidR="39888FD9">
        <w:t xml:space="preserve"> (see Table </w:t>
      </w:r>
      <w:r w:rsidR="00502F2D">
        <w:t>5</w:t>
      </w:r>
      <w:r w:rsidR="39888FD9">
        <w:t>). The</w:t>
      </w:r>
      <w:r w:rsidR="3290034C">
        <w:t xml:space="preserve"> next most supported policies</w:t>
      </w:r>
      <w:proofErr w:type="gramStart"/>
      <w:r w:rsidR="38B50D21" w:rsidRPr="191F9C62">
        <w:rPr>
          <w:color w:val="000000" w:themeColor="text1"/>
          <w:sz w:val="22"/>
          <w:szCs w:val="22"/>
        </w:rPr>
        <w:t>—</w:t>
      </w:r>
      <w:r w:rsidR="3290034C" w:rsidRPr="009B1C28">
        <w:rPr>
          <w:i/>
          <w:iCs/>
        </w:rPr>
        <w:t>“</w:t>
      </w:r>
      <w:proofErr w:type="gramEnd"/>
      <w:r w:rsidR="3290034C" w:rsidRPr="009B1C28">
        <w:rPr>
          <w:i/>
          <w:iCs/>
        </w:rPr>
        <w:t>Improved public health emergency prepa</w:t>
      </w:r>
      <w:r w:rsidR="232AD7E8" w:rsidRPr="009B1C28">
        <w:rPr>
          <w:i/>
          <w:iCs/>
        </w:rPr>
        <w:t>redness”</w:t>
      </w:r>
      <w:r w:rsidR="232AD7E8">
        <w:t xml:space="preserve"> and </w:t>
      </w:r>
      <w:r w:rsidR="232AD7E8" w:rsidRPr="009B1C28">
        <w:rPr>
          <w:i/>
          <w:iCs/>
        </w:rPr>
        <w:t>“Universal health coverage for all”</w:t>
      </w:r>
      <w:r w:rsidR="29AE5557" w:rsidRPr="191F9C62">
        <w:rPr>
          <w:color w:val="000000" w:themeColor="text1"/>
          <w:sz w:val="22"/>
          <w:szCs w:val="22"/>
        </w:rPr>
        <w:t>—</w:t>
      </w:r>
      <w:r w:rsidR="29AE5557">
        <w:t xml:space="preserve"> </w:t>
      </w:r>
      <w:r w:rsidR="3290034C">
        <w:t>received nearly equal levels of support</w:t>
      </w:r>
      <w:r w:rsidR="6E5D1493">
        <w:t>.</w:t>
      </w:r>
      <w:r w:rsidR="5A5A6AE5">
        <w:t xml:space="preserve"> </w:t>
      </w:r>
      <w:r>
        <w:rPr>
          <w:rFonts w:ascii="Minion Pro" w:hAnsi="Minion Pro" w:cs="Minion Pro"/>
        </w:rPr>
        <w:t>“</w:t>
      </w:r>
      <w:r>
        <w:rPr>
          <w:i/>
          <w:iCs/>
        </w:rPr>
        <w:t>More financial help for large businesses</w:t>
      </w:r>
      <w:r w:rsidRPr="001C6207">
        <w:rPr>
          <w:rFonts w:cs="Minion Pro"/>
        </w:rPr>
        <w:t>”</w:t>
      </w:r>
      <w:r>
        <w:rPr>
          <w:rFonts w:cs="Minion Pro"/>
        </w:rPr>
        <w:t xml:space="preserve"> received the least support, as it </w:t>
      </w:r>
      <w:r w:rsidRPr="001C6207">
        <w:rPr>
          <w:rFonts w:cs="Minion Pro"/>
        </w:rPr>
        <w:t xml:space="preserve">was </w:t>
      </w:r>
      <w:r>
        <w:rPr>
          <w:rFonts w:cs="Minion Pro"/>
        </w:rPr>
        <w:t>a priority for</w:t>
      </w:r>
      <w:r w:rsidRPr="001C6207">
        <w:rPr>
          <w:rFonts w:cs="Minion Pro"/>
        </w:rPr>
        <w:t xml:space="preserve"> only a small percent</w:t>
      </w:r>
      <w:r>
        <w:rPr>
          <w:rFonts w:cs="Minion Pro"/>
        </w:rPr>
        <w:t>age</w:t>
      </w:r>
      <w:r w:rsidRPr="001C6207">
        <w:rPr>
          <w:rFonts w:cs="Minion Pro"/>
        </w:rPr>
        <w:t xml:space="preserve"> of respondents.</w:t>
      </w:r>
      <w:r>
        <w:rPr>
          <w:rFonts w:ascii="Minion Pro" w:hAnsi="Minion Pro" w:cs="Minion Pro"/>
        </w:rPr>
        <w:t xml:space="preserve">  </w:t>
      </w:r>
    </w:p>
    <w:p w14:paraId="7D403037" w14:textId="77777777" w:rsidR="00235399" w:rsidRDefault="00235399" w:rsidP="00235399">
      <w:pPr>
        <w:rPr>
          <w:b/>
        </w:rPr>
      </w:pPr>
    </w:p>
    <w:p w14:paraId="2286BC32" w14:textId="07542EE3" w:rsidR="00235399" w:rsidRPr="002A5095" w:rsidRDefault="00235399" w:rsidP="00235399">
      <w:pPr>
        <w:rPr>
          <w:b/>
        </w:rPr>
      </w:pPr>
      <w:r w:rsidRPr="00AA7487">
        <w:rPr>
          <w:b/>
        </w:rPr>
        <w:t xml:space="preserve">Table </w:t>
      </w:r>
      <w:r w:rsidR="00EE0895">
        <w:rPr>
          <w:b/>
        </w:rPr>
        <w:t>5</w:t>
      </w:r>
      <w:r w:rsidRPr="00AA7487">
        <w:rPr>
          <w:b/>
        </w:rPr>
        <w:t xml:space="preserve">: </w:t>
      </w:r>
      <w:r>
        <w:rPr>
          <w:b/>
        </w:rPr>
        <w:t>Support for Policies to Address COVID Concerns</w:t>
      </w:r>
    </w:p>
    <w:tbl>
      <w:tblPr>
        <w:tblStyle w:val="TableGrid"/>
        <w:tblW w:w="80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996"/>
        <w:gridCol w:w="4011"/>
      </w:tblGrid>
      <w:tr w:rsidR="00235399" w:rsidRPr="00DF0E6D" w14:paraId="44EBC437" w14:textId="77777777" w:rsidTr="00CC3630">
        <w:trPr>
          <w:trHeight w:val="584"/>
        </w:trPr>
        <w:tc>
          <w:tcPr>
            <w:tcW w:w="3996" w:type="dxa"/>
            <w:shd w:val="clear" w:color="auto" w:fill="D9D9D9" w:themeFill="background1" w:themeFillShade="D9"/>
          </w:tcPr>
          <w:p w14:paraId="25EE9AB7" w14:textId="77777777" w:rsidR="00235399" w:rsidRPr="00AA7487" w:rsidRDefault="00235399" w:rsidP="00CC3630">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Policy</w:t>
            </w:r>
          </w:p>
        </w:tc>
        <w:tc>
          <w:tcPr>
            <w:tcW w:w="4011" w:type="dxa"/>
            <w:shd w:val="clear" w:color="auto" w:fill="D9D9D9" w:themeFill="background1" w:themeFillShade="D9"/>
          </w:tcPr>
          <w:p w14:paraId="4DB21C12" w14:textId="77777777" w:rsidR="00235399" w:rsidRPr="00AA7487" w:rsidRDefault="00235399" w:rsidP="00CC3630">
            <w:pPr>
              <w:jc w:val="center"/>
              <w:rPr>
                <w:rFonts w:ascii="Calibri" w:hAnsi="Calibri"/>
                <w:b/>
                <w:color w:val="000000"/>
              </w:rPr>
            </w:pPr>
            <w:r w:rsidRPr="00314BFB">
              <w:rPr>
                <w:rFonts w:ascii="Calibri" w:hAnsi="Calibri"/>
                <w:b/>
                <w:color w:val="000000"/>
              </w:rPr>
              <w:t xml:space="preserve">Percent of </w:t>
            </w:r>
            <w:r>
              <w:rPr>
                <w:rFonts w:ascii="Calibri" w:hAnsi="Calibri"/>
                <w:b/>
                <w:color w:val="000000"/>
              </w:rPr>
              <w:t>Respondents Who Selected Policy as One of their Top 3 Policies SUPPORTED</w:t>
            </w:r>
          </w:p>
        </w:tc>
      </w:tr>
      <w:tr w:rsidR="00235399" w:rsidRPr="00DF0E6D" w14:paraId="566745E7" w14:textId="77777777" w:rsidTr="023BC94C">
        <w:trPr>
          <w:trHeight w:val="624"/>
        </w:trPr>
        <w:tc>
          <w:tcPr>
            <w:tcW w:w="3996" w:type="dxa"/>
            <w:vAlign w:val="bottom"/>
            <w:hideMark/>
          </w:tcPr>
          <w:p w14:paraId="27D9C958" w14:textId="5EFED078" w:rsidR="00235399" w:rsidRPr="00DF0E6D" w:rsidRDefault="00235399" w:rsidP="00CC3630">
            <w:pPr>
              <w:rPr>
                <w:rFonts w:ascii="Calibri" w:eastAsia="Times New Roman" w:hAnsi="Calibri" w:cs="Times New Roman"/>
                <w:color w:val="000000"/>
                <w:sz w:val="24"/>
                <w:szCs w:val="24"/>
              </w:rPr>
            </w:pPr>
            <w:r w:rsidRPr="023BC94C">
              <w:rPr>
                <w:rFonts w:ascii="Calibri" w:hAnsi="Calibri"/>
                <w:color w:val="000000" w:themeColor="text1"/>
              </w:rPr>
              <w:t>Additional Federal stimulus payments</w:t>
            </w:r>
            <w:r w:rsidR="773EB841" w:rsidRPr="023BC94C">
              <w:rPr>
                <w:rFonts w:ascii="Calibri" w:hAnsi="Calibri"/>
                <w:color w:val="000000" w:themeColor="text1"/>
              </w:rPr>
              <w:t>*</w:t>
            </w:r>
          </w:p>
        </w:tc>
        <w:tc>
          <w:tcPr>
            <w:tcW w:w="4011" w:type="dxa"/>
            <w:shd w:val="clear" w:color="auto" w:fill="FAFBFE"/>
            <w:vAlign w:val="bottom"/>
          </w:tcPr>
          <w:p w14:paraId="690DEDC3" w14:textId="3D4CBD8E" w:rsidR="00235399" w:rsidRPr="00012CA7" w:rsidRDefault="00235399" w:rsidP="00CC3630">
            <w:pPr>
              <w:jc w:val="center"/>
              <w:rPr>
                <w:rFonts w:ascii="Calibri" w:eastAsia="Times New Roman" w:hAnsi="Calibri" w:cs="Times New Roman"/>
                <w:sz w:val="24"/>
                <w:szCs w:val="24"/>
              </w:rPr>
            </w:pPr>
            <w:r>
              <w:rPr>
                <w:rFonts w:ascii="Arial" w:hAnsi="Arial" w:cs="Arial"/>
                <w:sz w:val="20"/>
                <w:szCs w:val="20"/>
              </w:rPr>
              <w:t>33</w:t>
            </w:r>
            <w:r w:rsidRPr="00012CA7">
              <w:rPr>
                <w:rFonts w:ascii="Arial" w:hAnsi="Arial" w:cs="Arial"/>
                <w:sz w:val="20"/>
                <w:szCs w:val="20"/>
              </w:rPr>
              <w:t>%</w:t>
            </w:r>
          </w:p>
        </w:tc>
      </w:tr>
      <w:tr w:rsidR="003D7843" w:rsidRPr="00DF0E6D" w14:paraId="1BB77DCB" w14:textId="77777777" w:rsidTr="00FA5C49">
        <w:trPr>
          <w:trHeight w:val="624"/>
        </w:trPr>
        <w:tc>
          <w:tcPr>
            <w:tcW w:w="3996" w:type="dxa"/>
            <w:vAlign w:val="center"/>
          </w:tcPr>
          <w:p w14:paraId="0D9E2BE9" w14:textId="19603932" w:rsidR="003D7843" w:rsidRDefault="003D7843" w:rsidP="003D7843">
            <w:pPr>
              <w:rPr>
                <w:rFonts w:ascii="Calibri" w:hAnsi="Calibri"/>
                <w:color w:val="000000"/>
              </w:rPr>
            </w:pPr>
            <w:r>
              <w:rPr>
                <w:rFonts w:ascii="Calibri" w:hAnsi="Calibri"/>
                <w:color w:val="000000"/>
              </w:rPr>
              <w:t>More financial help for small businesses</w:t>
            </w:r>
          </w:p>
        </w:tc>
        <w:tc>
          <w:tcPr>
            <w:tcW w:w="4011" w:type="dxa"/>
            <w:shd w:val="clear" w:color="auto" w:fill="FAFBFE"/>
            <w:vAlign w:val="bottom"/>
          </w:tcPr>
          <w:p w14:paraId="080750E8" w14:textId="1B7EF6C0" w:rsidR="003D7843" w:rsidRDefault="003D7843" w:rsidP="003D7843">
            <w:pPr>
              <w:jc w:val="center"/>
              <w:rPr>
                <w:rFonts w:ascii="Arial" w:hAnsi="Arial" w:cs="Arial"/>
                <w:sz w:val="20"/>
                <w:szCs w:val="20"/>
              </w:rPr>
            </w:pPr>
            <w:r>
              <w:rPr>
                <w:rFonts w:ascii="Arial" w:hAnsi="Arial" w:cs="Arial"/>
                <w:sz w:val="20"/>
                <w:szCs w:val="20"/>
              </w:rPr>
              <w:t>32</w:t>
            </w:r>
            <w:r w:rsidRPr="00012CA7">
              <w:rPr>
                <w:rFonts w:ascii="Arial" w:hAnsi="Arial" w:cs="Arial"/>
                <w:sz w:val="20"/>
                <w:szCs w:val="20"/>
              </w:rPr>
              <w:t>%</w:t>
            </w:r>
          </w:p>
        </w:tc>
      </w:tr>
      <w:tr w:rsidR="003D7843" w:rsidRPr="00DF0E6D" w14:paraId="7A205E60" w14:textId="77777777" w:rsidTr="023BC94C">
        <w:trPr>
          <w:trHeight w:val="624"/>
        </w:trPr>
        <w:tc>
          <w:tcPr>
            <w:tcW w:w="3996" w:type="dxa"/>
            <w:vAlign w:val="bottom"/>
          </w:tcPr>
          <w:p w14:paraId="1A9321E1" w14:textId="4562F128" w:rsidR="003D7843" w:rsidRDefault="003D7843" w:rsidP="003D7843">
            <w:pPr>
              <w:rPr>
                <w:rFonts w:ascii="Calibri" w:hAnsi="Calibri"/>
                <w:color w:val="000000"/>
              </w:rPr>
            </w:pPr>
            <w:r>
              <w:rPr>
                <w:rFonts w:ascii="Calibri" w:hAnsi="Calibri"/>
                <w:color w:val="000000"/>
              </w:rPr>
              <w:t>Improved public health emergency preparedness</w:t>
            </w:r>
          </w:p>
        </w:tc>
        <w:tc>
          <w:tcPr>
            <w:tcW w:w="4011" w:type="dxa"/>
            <w:shd w:val="clear" w:color="auto" w:fill="FAFBFE"/>
            <w:vAlign w:val="bottom"/>
          </w:tcPr>
          <w:p w14:paraId="19876452" w14:textId="4937E579" w:rsidR="003D7843" w:rsidRDefault="003D7843" w:rsidP="003D7843">
            <w:pPr>
              <w:jc w:val="center"/>
              <w:rPr>
                <w:rFonts w:ascii="Arial" w:hAnsi="Arial" w:cs="Arial"/>
                <w:sz w:val="20"/>
                <w:szCs w:val="20"/>
              </w:rPr>
            </w:pPr>
            <w:r>
              <w:rPr>
                <w:rFonts w:ascii="Arial" w:hAnsi="Arial" w:cs="Arial"/>
                <w:sz w:val="20"/>
                <w:szCs w:val="20"/>
              </w:rPr>
              <w:t>31%</w:t>
            </w:r>
          </w:p>
        </w:tc>
      </w:tr>
      <w:tr w:rsidR="003D7843" w:rsidRPr="00DF0E6D" w14:paraId="4B10ACF7" w14:textId="77777777" w:rsidTr="023BC94C">
        <w:trPr>
          <w:trHeight w:val="624"/>
        </w:trPr>
        <w:tc>
          <w:tcPr>
            <w:tcW w:w="3996" w:type="dxa"/>
            <w:vAlign w:val="center"/>
            <w:hideMark/>
          </w:tcPr>
          <w:p w14:paraId="52F1969E" w14:textId="77777777" w:rsidR="003D7843" w:rsidRPr="00DF0E6D" w:rsidRDefault="003D7843" w:rsidP="003D7843">
            <w:pPr>
              <w:rPr>
                <w:rFonts w:ascii="Calibri" w:eastAsia="Times New Roman" w:hAnsi="Calibri" w:cs="Times New Roman"/>
                <w:color w:val="000000"/>
                <w:sz w:val="24"/>
                <w:szCs w:val="24"/>
              </w:rPr>
            </w:pPr>
            <w:r>
              <w:rPr>
                <w:rFonts w:ascii="Calibri" w:hAnsi="Calibri"/>
                <w:color w:val="000000"/>
              </w:rPr>
              <w:t xml:space="preserve">Universal health coverage for all </w:t>
            </w:r>
          </w:p>
        </w:tc>
        <w:tc>
          <w:tcPr>
            <w:tcW w:w="4011" w:type="dxa"/>
            <w:shd w:val="clear" w:color="auto" w:fill="FAFBFE"/>
            <w:vAlign w:val="bottom"/>
          </w:tcPr>
          <w:p w14:paraId="192C143A" w14:textId="27D3D7E6" w:rsidR="003D7843" w:rsidRPr="00012CA7" w:rsidRDefault="003D7843" w:rsidP="003D7843">
            <w:pPr>
              <w:jc w:val="center"/>
              <w:rPr>
                <w:rFonts w:ascii="Calibri" w:eastAsia="Times New Roman" w:hAnsi="Calibri" w:cs="Times New Roman"/>
                <w:sz w:val="24"/>
                <w:szCs w:val="24"/>
              </w:rPr>
            </w:pPr>
            <w:r>
              <w:rPr>
                <w:rFonts w:ascii="Arial" w:hAnsi="Arial" w:cs="Arial"/>
                <w:sz w:val="20"/>
                <w:szCs w:val="20"/>
              </w:rPr>
              <w:t>30</w:t>
            </w:r>
            <w:r w:rsidRPr="00012CA7">
              <w:rPr>
                <w:rFonts w:ascii="Arial" w:hAnsi="Arial" w:cs="Arial"/>
                <w:sz w:val="20"/>
                <w:szCs w:val="20"/>
              </w:rPr>
              <w:t>%</w:t>
            </w:r>
          </w:p>
        </w:tc>
      </w:tr>
      <w:tr w:rsidR="003D7843" w:rsidRPr="00DF0E6D" w14:paraId="762FF0EB" w14:textId="77777777" w:rsidTr="023BC94C">
        <w:trPr>
          <w:trHeight w:val="719"/>
        </w:trPr>
        <w:tc>
          <w:tcPr>
            <w:tcW w:w="3996" w:type="dxa"/>
            <w:vAlign w:val="bottom"/>
            <w:hideMark/>
          </w:tcPr>
          <w:p w14:paraId="1B4FDFD8" w14:textId="77777777" w:rsidR="003D7843" w:rsidRPr="00DF0E6D" w:rsidRDefault="003D7843" w:rsidP="003D7843">
            <w:pPr>
              <w:rPr>
                <w:rFonts w:ascii="Calibri" w:eastAsia="Times New Roman" w:hAnsi="Calibri" w:cs="Times New Roman"/>
                <w:color w:val="000000"/>
                <w:sz w:val="24"/>
                <w:szCs w:val="24"/>
              </w:rPr>
            </w:pPr>
            <w:r>
              <w:rPr>
                <w:rFonts w:ascii="Calibri" w:hAnsi="Calibri"/>
                <w:color w:val="000000"/>
              </w:rPr>
              <w:lastRenderedPageBreak/>
              <w:t>Price limits on needed vaccines to ensure availability to all</w:t>
            </w:r>
          </w:p>
        </w:tc>
        <w:tc>
          <w:tcPr>
            <w:tcW w:w="4011" w:type="dxa"/>
            <w:shd w:val="clear" w:color="auto" w:fill="FAFBFE"/>
            <w:vAlign w:val="bottom"/>
          </w:tcPr>
          <w:p w14:paraId="624B19F7" w14:textId="386DA148" w:rsidR="003D7843" w:rsidRPr="00012CA7" w:rsidRDefault="003D7843" w:rsidP="003D7843">
            <w:pPr>
              <w:jc w:val="center"/>
              <w:rPr>
                <w:rFonts w:ascii="Calibri" w:eastAsia="Times New Roman" w:hAnsi="Calibri" w:cs="Times New Roman"/>
                <w:sz w:val="24"/>
                <w:szCs w:val="24"/>
              </w:rPr>
            </w:pPr>
            <w:r>
              <w:rPr>
                <w:rFonts w:ascii="Arial" w:hAnsi="Arial" w:cs="Arial"/>
                <w:sz w:val="20"/>
                <w:szCs w:val="20"/>
              </w:rPr>
              <w:t>27</w:t>
            </w:r>
            <w:r w:rsidRPr="00012CA7">
              <w:rPr>
                <w:rFonts w:ascii="Arial" w:hAnsi="Arial" w:cs="Arial"/>
                <w:sz w:val="20"/>
                <w:szCs w:val="20"/>
              </w:rPr>
              <w:t>%</w:t>
            </w:r>
          </w:p>
        </w:tc>
      </w:tr>
      <w:tr w:rsidR="003D7843" w:rsidRPr="00DF0E6D" w14:paraId="186623FE" w14:textId="77777777" w:rsidTr="023BC94C">
        <w:trPr>
          <w:trHeight w:val="1034"/>
        </w:trPr>
        <w:tc>
          <w:tcPr>
            <w:tcW w:w="3996" w:type="dxa"/>
            <w:vAlign w:val="bottom"/>
            <w:hideMark/>
          </w:tcPr>
          <w:p w14:paraId="283A5F8F" w14:textId="77777777" w:rsidR="003D7843" w:rsidRPr="00DF0E6D" w:rsidRDefault="003D7843" w:rsidP="003D7843">
            <w:pPr>
              <w:rPr>
                <w:rFonts w:ascii="Calibri" w:eastAsia="Times New Roman" w:hAnsi="Calibri" w:cs="Times New Roman"/>
                <w:color w:val="000000"/>
                <w:sz w:val="24"/>
                <w:szCs w:val="24"/>
              </w:rPr>
            </w:pPr>
            <w:r>
              <w:rPr>
                <w:rFonts w:ascii="Calibri" w:hAnsi="Calibri"/>
                <w:color w:val="000000"/>
              </w:rPr>
              <w:t>Price limits on coronavirus treatments to ensure availability to all</w:t>
            </w:r>
          </w:p>
        </w:tc>
        <w:tc>
          <w:tcPr>
            <w:tcW w:w="4011" w:type="dxa"/>
            <w:shd w:val="clear" w:color="auto" w:fill="FAFBFE"/>
            <w:vAlign w:val="bottom"/>
          </w:tcPr>
          <w:p w14:paraId="6270B1E9" w14:textId="332B8AB3" w:rsidR="003D7843" w:rsidRPr="00012CA7" w:rsidRDefault="003D7843" w:rsidP="003D7843">
            <w:pPr>
              <w:jc w:val="center"/>
              <w:rPr>
                <w:rFonts w:ascii="Calibri" w:eastAsia="Times New Roman" w:hAnsi="Calibri" w:cs="Times New Roman"/>
                <w:sz w:val="24"/>
                <w:szCs w:val="24"/>
              </w:rPr>
            </w:pPr>
            <w:r>
              <w:rPr>
                <w:rFonts w:ascii="Arial" w:hAnsi="Arial" w:cs="Arial"/>
                <w:sz w:val="20"/>
                <w:szCs w:val="20"/>
              </w:rPr>
              <w:t>23</w:t>
            </w:r>
            <w:r w:rsidRPr="00012CA7">
              <w:rPr>
                <w:rFonts w:ascii="Arial" w:hAnsi="Arial" w:cs="Arial"/>
                <w:sz w:val="20"/>
                <w:szCs w:val="20"/>
              </w:rPr>
              <w:t>%</w:t>
            </w:r>
          </w:p>
        </w:tc>
      </w:tr>
      <w:tr w:rsidR="003D7843" w:rsidRPr="00DF0E6D" w14:paraId="7D666E4C" w14:textId="77777777" w:rsidTr="023BC94C">
        <w:trPr>
          <w:trHeight w:val="683"/>
        </w:trPr>
        <w:tc>
          <w:tcPr>
            <w:tcW w:w="3996" w:type="dxa"/>
            <w:vAlign w:val="bottom"/>
          </w:tcPr>
          <w:p w14:paraId="31643E5E" w14:textId="7EFF71D3" w:rsidR="003D7843" w:rsidRDefault="003D7843" w:rsidP="003D7843">
            <w:pPr>
              <w:rPr>
                <w:rFonts w:ascii="Calibri" w:hAnsi="Calibri"/>
                <w:color w:val="000000"/>
              </w:rPr>
            </w:pPr>
            <w:r>
              <w:rPr>
                <w:rFonts w:ascii="Calibri" w:hAnsi="Calibri"/>
                <w:color w:val="000000"/>
              </w:rPr>
              <w:t>Mandatory paid time off for illness</w:t>
            </w:r>
          </w:p>
        </w:tc>
        <w:tc>
          <w:tcPr>
            <w:tcW w:w="4011" w:type="dxa"/>
            <w:shd w:val="clear" w:color="auto" w:fill="FAFBFE"/>
            <w:vAlign w:val="bottom"/>
          </w:tcPr>
          <w:p w14:paraId="6DB96BB8" w14:textId="28BEB513" w:rsidR="003D7843" w:rsidRDefault="003D7843" w:rsidP="003D7843">
            <w:pPr>
              <w:jc w:val="center"/>
              <w:rPr>
                <w:rFonts w:ascii="Arial" w:hAnsi="Arial" w:cs="Arial"/>
                <w:sz w:val="20"/>
                <w:szCs w:val="20"/>
              </w:rPr>
            </w:pPr>
            <w:r>
              <w:rPr>
                <w:rFonts w:ascii="Arial" w:hAnsi="Arial" w:cs="Arial"/>
                <w:sz w:val="20"/>
                <w:szCs w:val="20"/>
              </w:rPr>
              <w:t>23%</w:t>
            </w:r>
          </w:p>
        </w:tc>
      </w:tr>
      <w:tr w:rsidR="003D7843" w:rsidRPr="00DF0E6D" w14:paraId="75A9D51A" w14:textId="77777777" w:rsidTr="023BC94C">
        <w:trPr>
          <w:trHeight w:val="683"/>
        </w:trPr>
        <w:tc>
          <w:tcPr>
            <w:tcW w:w="3996" w:type="dxa"/>
            <w:vAlign w:val="bottom"/>
            <w:hideMark/>
          </w:tcPr>
          <w:p w14:paraId="217F93C7" w14:textId="77777777" w:rsidR="003D7843" w:rsidRPr="00DF0E6D" w:rsidRDefault="003D7843" w:rsidP="003D7843">
            <w:pPr>
              <w:rPr>
                <w:rFonts w:ascii="Calibri" w:eastAsia="Times New Roman" w:hAnsi="Calibri" w:cs="Times New Roman"/>
                <w:color w:val="000000"/>
                <w:sz w:val="24"/>
                <w:szCs w:val="24"/>
              </w:rPr>
            </w:pPr>
            <w:r>
              <w:rPr>
                <w:rFonts w:ascii="Calibri" w:hAnsi="Calibri"/>
                <w:color w:val="000000"/>
              </w:rPr>
              <w:t>Government oversight of vaccine and treatment development</w:t>
            </w:r>
          </w:p>
        </w:tc>
        <w:tc>
          <w:tcPr>
            <w:tcW w:w="4011" w:type="dxa"/>
            <w:shd w:val="clear" w:color="auto" w:fill="FAFBFE"/>
            <w:vAlign w:val="bottom"/>
          </w:tcPr>
          <w:p w14:paraId="3654FE3A" w14:textId="1057B593" w:rsidR="003D7843" w:rsidRPr="00012CA7" w:rsidRDefault="003D7843" w:rsidP="003D7843">
            <w:pPr>
              <w:jc w:val="center"/>
              <w:rPr>
                <w:rFonts w:ascii="Calibri" w:eastAsia="Times New Roman" w:hAnsi="Calibri" w:cs="Times New Roman"/>
                <w:sz w:val="24"/>
                <w:szCs w:val="24"/>
              </w:rPr>
            </w:pPr>
            <w:r>
              <w:rPr>
                <w:rFonts w:ascii="Arial" w:hAnsi="Arial" w:cs="Arial"/>
                <w:sz w:val="20"/>
                <w:szCs w:val="20"/>
              </w:rPr>
              <w:t>20</w:t>
            </w:r>
            <w:r w:rsidRPr="00012CA7">
              <w:rPr>
                <w:rFonts w:ascii="Arial" w:hAnsi="Arial" w:cs="Arial"/>
                <w:sz w:val="20"/>
                <w:szCs w:val="20"/>
              </w:rPr>
              <w:t>%</w:t>
            </w:r>
          </w:p>
        </w:tc>
      </w:tr>
      <w:tr w:rsidR="003D7843" w:rsidRPr="00DF0E6D" w14:paraId="51FE7663" w14:textId="77777777" w:rsidTr="023BC94C">
        <w:trPr>
          <w:trHeight w:val="809"/>
        </w:trPr>
        <w:tc>
          <w:tcPr>
            <w:tcW w:w="3996" w:type="dxa"/>
            <w:vAlign w:val="bottom"/>
            <w:hideMark/>
          </w:tcPr>
          <w:p w14:paraId="3C618C5E" w14:textId="77777777" w:rsidR="003D7843" w:rsidRPr="00DF0E6D" w:rsidRDefault="003D7843" w:rsidP="003D7843">
            <w:pPr>
              <w:rPr>
                <w:rFonts w:ascii="Calibri" w:eastAsia="Times New Roman" w:hAnsi="Calibri" w:cs="Times New Roman"/>
                <w:color w:val="000000"/>
                <w:sz w:val="24"/>
                <w:szCs w:val="24"/>
              </w:rPr>
            </w:pPr>
            <w:r>
              <w:rPr>
                <w:rFonts w:ascii="Calibri" w:hAnsi="Calibri"/>
                <w:color w:val="000000"/>
              </w:rPr>
              <w:t>Unemployment benefits for gig workers</w:t>
            </w:r>
          </w:p>
        </w:tc>
        <w:tc>
          <w:tcPr>
            <w:tcW w:w="4011" w:type="dxa"/>
            <w:shd w:val="clear" w:color="auto" w:fill="FAFBFE"/>
            <w:vAlign w:val="bottom"/>
          </w:tcPr>
          <w:p w14:paraId="0552BBE2" w14:textId="41AC83F1" w:rsidR="003D7843" w:rsidRPr="00012CA7" w:rsidRDefault="003D7843" w:rsidP="003D7843">
            <w:pPr>
              <w:jc w:val="center"/>
              <w:rPr>
                <w:rFonts w:ascii="Calibri" w:eastAsia="Times New Roman" w:hAnsi="Calibri" w:cs="Times New Roman"/>
                <w:sz w:val="24"/>
                <w:szCs w:val="24"/>
              </w:rPr>
            </w:pPr>
            <w:r>
              <w:rPr>
                <w:rFonts w:ascii="Arial" w:hAnsi="Arial" w:cs="Arial"/>
                <w:sz w:val="20"/>
                <w:szCs w:val="20"/>
              </w:rPr>
              <w:t>20</w:t>
            </w:r>
            <w:r w:rsidRPr="00012CA7">
              <w:rPr>
                <w:rFonts w:ascii="Arial" w:hAnsi="Arial" w:cs="Arial"/>
                <w:sz w:val="20"/>
                <w:szCs w:val="20"/>
              </w:rPr>
              <w:t>%</w:t>
            </w:r>
          </w:p>
        </w:tc>
      </w:tr>
      <w:tr w:rsidR="003D7843" w:rsidRPr="00DF0E6D" w14:paraId="08438842" w14:textId="77777777" w:rsidTr="023BC94C">
        <w:trPr>
          <w:trHeight w:val="624"/>
        </w:trPr>
        <w:tc>
          <w:tcPr>
            <w:tcW w:w="3996" w:type="dxa"/>
            <w:vAlign w:val="bottom"/>
          </w:tcPr>
          <w:p w14:paraId="6E29C553" w14:textId="308D1E1B" w:rsidR="003D7843" w:rsidRDefault="003D7843" w:rsidP="003D7843">
            <w:pPr>
              <w:rPr>
                <w:rFonts w:ascii="Arial" w:hAnsi="Arial" w:cs="Arial"/>
                <w:color w:val="000000"/>
                <w:sz w:val="20"/>
                <w:szCs w:val="20"/>
              </w:rPr>
            </w:pPr>
            <w:r>
              <w:rPr>
                <w:rFonts w:ascii="Calibri" w:hAnsi="Calibri"/>
                <w:color w:val="000000"/>
              </w:rPr>
              <w:t xml:space="preserve">More financial help for large businesses </w:t>
            </w:r>
          </w:p>
        </w:tc>
        <w:tc>
          <w:tcPr>
            <w:tcW w:w="4011" w:type="dxa"/>
            <w:shd w:val="clear" w:color="auto" w:fill="FAFBFE"/>
            <w:vAlign w:val="bottom"/>
          </w:tcPr>
          <w:p w14:paraId="5383F464" w14:textId="30C8AFDA" w:rsidR="003D7843" w:rsidRDefault="003D7843" w:rsidP="003D7843">
            <w:pPr>
              <w:jc w:val="center"/>
              <w:rPr>
                <w:rFonts w:ascii="Arial" w:hAnsi="Arial" w:cs="Arial"/>
                <w:sz w:val="20"/>
                <w:szCs w:val="20"/>
              </w:rPr>
            </w:pPr>
            <w:r>
              <w:rPr>
                <w:rFonts w:ascii="Arial" w:hAnsi="Arial" w:cs="Arial"/>
                <w:sz w:val="20"/>
                <w:szCs w:val="20"/>
              </w:rPr>
              <w:t>16</w:t>
            </w:r>
            <w:r w:rsidRPr="00012CA7">
              <w:rPr>
                <w:rFonts w:ascii="Arial" w:hAnsi="Arial" w:cs="Arial"/>
                <w:sz w:val="20"/>
                <w:szCs w:val="20"/>
              </w:rPr>
              <w:t>%</w:t>
            </w:r>
          </w:p>
        </w:tc>
      </w:tr>
      <w:tr w:rsidR="003D7843" w:rsidRPr="00DF0E6D" w14:paraId="6E0AC2E9" w14:textId="77777777" w:rsidTr="023BC94C">
        <w:trPr>
          <w:trHeight w:val="624"/>
        </w:trPr>
        <w:tc>
          <w:tcPr>
            <w:tcW w:w="3996" w:type="dxa"/>
            <w:vAlign w:val="bottom"/>
            <w:hideMark/>
          </w:tcPr>
          <w:p w14:paraId="2A109107" w14:textId="77777777" w:rsidR="003D7843" w:rsidRPr="00DF0E6D" w:rsidRDefault="003D7843" w:rsidP="003D7843">
            <w:pPr>
              <w:rPr>
                <w:rFonts w:ascii="Calibri" w:eastAsia="Times New Roman" w:hAnsi="Calibri" w:cs="Times New Roman"/>
                <w:color w:val="000000"/>
                <w:sz w:val="24"/>
                <w:szCs w:val="24"/>
              </w:rPr>
            </w:pPr>
            <w:r>
              <w:rPr>
                <w:rFonts w:ascii="Arial" w:hAnsi="Arial" w:cs="Arial"/>
                <w:color w:val="000000"/>
                <w:sz w:val="20"/>
                <w:szCs w:val="20"/>
              </w:rPr>
              <w:t>Something else</w:t>
            </w:r>
          </w:p>
        </w:tc>
        <w:tc>
          <w:tcPr>
            <w:tcW w:w="4011" w:type="dxa"/>
            <w:shd w:val="clear" w:color="auto" w:fill="FAFBFE"/>
            <w:vAlign w:val="bottom"/>
          </w:tcPr>
          <w:p w14:paraId="589883F2" w14:textId="5AB8DDE4" w:rsidR="003D7843" w:rsidRPr="00012CA7" w:rsidRDefault="003D7843" w:rsidP="003D7843">
            <w:pPr>
              <w:jc w:val="center"/>
              <w:rPr>
                <w:rFonts w:ascii="Calibri" w:eastAsia="Times New Roman" w:hAnsi="Calibri" w:cs="Times New Roman"/>
                <w:sz w:val="24"/>
                <w:szCs w:val="24"/>
              </w:rPr>
            </w:pPr>
            <w:r>
              <w:rPr>
                <w:rFonts w:ascii="Arial" w:hAnsi="Arial" w:cs="Arial"/>
                <w:sz w:val="20"/>
                <w:szCs w:val="20"/>
              </w:rPr>
              <w:t>14</w:t>
            </w:r>
            <w:r w:rsidRPr="00012CA7">
              <w:rPr>
                <w:rFonts w:ascii="Arial" w:hAnsi="Arial" w:cs="Arial"/>
                <w:sz w:val="20"/>
                <w:szCs w:val="20"/>
              </w:rPr>
              <w:t>%</w:t>
            </w:r>
          </w:p>
        </w:tc>
      </w:tr>
    </w:tbl>
    <w:p w14:paraId="2970F1E6" w14:textId="41AC3633" w:rsidR="00235399" w:rsidRDefault="00235399" w:rsidP="00235399">
      <w:pPr>
        <w:spacing w:before="28"/>
        <w:rPr>
          <w:rFonts w:ascii="BrandonText-RegularItalic"/>
          <w:i/>
          <w:sz w:val="16"/>
          <w:szCs w:val="16"/>
        </w:rPr>
      </w:pPr>
      <w:r w:rsidRPr="023BC94C">
        <w:rPr>
          <w:rFonts w:ascii="BrandonText-RegularItalic"/>
          <w:i/>
          <w:color w:val="231F20"/>
          <w:sz w:val="16"/>
          <w:szCs w:val="16"/>
        </w:rPr>
        <w:t>Sourc</w:t>
      </w:r>
      <w:r w:rsidR="003D7843">
        <w:rPr>
          <w:rFonts w:ascii="BrandonText-RegularItalic"/>
          <w:i/>
          <w:color w:val="231F20"/>
          <w:sz w:val="16"/>
          <w:szCs w:val="16"/>
        </w:rPr>
        <w:t>e: 2021 Poll of Georgia</w:t>
      </w:r>
      <w:r w:rsidRPr="023BC94C">
        <w:rPr>
          <w:rFonts w:ascii="BrandonText-RegularItalic"/>
          <w:i/>
          <w:color w:val="231F20"/>
          <w:sz w:val="16"/>
          <w:szCs w:val="16"/>
        </w:rPr>
        <w:t xml:space="preserve"> Adults, Ages 18+, Altarum Healthcare Value Hub's Consumer Healthcare Experience State Survey</w:t>
      </w:r>
    </w:p>
    <w:p w14:paraId="099F91AC" w14:textId="40BF564B" w:rsidR="2974DB5F" w:rsidRDefault="2974DB5F" w:rsidP="023BC94C">
      <w:pPr>
        <w:spacing w:before="28"/>
        <w:rPr>
          <w:rFonts w:ascii="BrandonText-RegularItalic"/>
          <w:i/>
          <w:iCs/>
          <w:color w:val="231F20"/>
          <w:sz w:val="16"/>
          <w:szCs w:val="16"/>
        </w:rPr>
      </w:pPr>
      <w:r w:rsidRPr="023BC94C">
        <w:rPr>
          <w:rFonts w:ascii="BrandonText-RegularItalic"/>
          <w:i/>
          <w:iCs/>
          <w:color w:val="231F20"/>
          <w:sz w:val="16"/>
          <w:szCs w:val="16"/>
        </w:rPr>
        <w:t>* This survey was fielded</w:t>
      </w:r>
      <w:r w:rsidR="6E1A0FB4" w:rsidRPr="023BC94C">
        <w:rPr>
          <w:rFonts w:ascii="BrandonText-RegularItalic"/>
          <w:i/>
          <w:iCs/>
          <w:color w:val="231F20"/>
          <w:sz w:val="16"/>
          <w:szCs w:val="16"/>
        </w:rPr>
        <w:t xml:space="preserve"> after the</w:t>
      </w:r>
      <w:r w:rsidR="001B2D09">
        <w:rPr>
          <w:rFonts w:ascii="BrandonText-RegularItalic"/>
          <w:i/>
          <w:iCs/>
          <w:color w:val="231F20"/>
          <w:sz w:val="16"/>
          <w:szCs w:val="16"/>
        </w:rPr>
        <w:t xml:space="preserve"> passage of the</w:t>
      </w:r>
      <w:r w:rsidR="6E1A0FB4" w:rsidRPr="023BC94C">
        <w:rPr>
          <w:rFonts w:ascii="BrandonText-RegularItalic"/>
          <w:i/>
          <w:iCs/>
          <w:color w:val="231F20"/>
          <w:sz w:val="16"/>
          <w:szCs w:val="16"/>
        </w:rPr>
        <w:t xml:space="preserve"> American Rescue Plan Act </w:t>
      </w:r>
      <w:r w:rsidR="00650DF8">
        <w:rPr>
          <w:rFonts w:ascii="BrandonText-RegularItalic"/>
          <w:i/>
          <w:iCs/>
          <w:color w:val="231F20"/>
          <w:sz w:val="16"/>
          <w:szCs w:val="16"/>
        </w:rPr>
        <w:t xml:space="preserve">in March </w:t>
      </w:r>
      <w:r w:rsidR="6E1A0FB4" w:rsidRPr="023BC94C">
        <w:rPr>
          <w:rFonts w:ascii="BrandonText-RegularItalic"/>
          <w:i/>
          <w:iCs/>
          <w:color w:val="231F20"/>
          <w:sz w:val="16"/>
          <w:szCs w:val="16"/>
        </w:rPr>
        <w:t>2021</w:t>
      </w:r>
      <w:r w:rsidR="003E34E0">
        <w:rPr>
          <w:rFonts w:ascii="BrandonText-RegularItalic"/>
          <w:i/>
          <w:iCs/>
          <w:color w:val="231F20"/>
          <w:sz w:val="16"/>
          <w:szCs w:val="16"/>
        </w:rPr>
        <w:t>;</w:t>
      </w:r>
      <w:r w:rsidR="5C6BB290" w:rsidRPr="023BC94C">
        <w:rPr>
          <w:rFonts w:ascii="BrandonText-RegularItalic"/>
          <w:i/>
          <w:iCs/>
          <w:color w:val="231F20"/>
          <w:sz w:val="16"/>
          <w:szCs w:val="16"/>
        </w:rPr>
        <w:t xml:space="preserve"> the second federal stimulus bill in December 2020</w:t>
      </w:r>
      <w:r w:rsidR="001F4A27">
        <w:rPr>
          <w:rFonts w:ascii="BrandonText-RegularItalic"/>
          <w:i/>
          <w:iCs/>
          <w:color w:val="231F20"/>
          <w:sz w:val="16"/>
          <w:szCs w:val="16"/>
        </w:rPr>
        <w:t>;</w:t>
      </w:r>
      <w:r w:rsidR="5C6BB290" w:rsidRPr="023BC94C">
        <w:rPr>
          <w:rFonts w:ascii="BrandonText-RegularItalic"/>
          <w:i/>
          <w:iCs/>
          <w:color w:val="231F20"/>
          <w:sz w:val="16"/>
          <w:szCs w:val="16"/>
        </w:rPr>
        <w:t xml:space="preserve"> the Coronavirus Preparedness and Response Supplemental Appropriations Act; The Families First Response Act; and the Coronavirus Aid, Relief and Economic Security (CARES) Act. </w:t>
      </w:r>
    </w:p>
    <w:p w14:paraId="6CFCBD33" w14:textId="77777777" w:rsidR="00235399" w:rsidRDefault="00235399" w:rsidP="00235399">
      <w:pPr>
        <w:pStyle w:val="BodyFirstGraph"/>
        <w:rPr>
          <w:rFonts w:ascii="Minion Pro" w:hAnsi="Minion Pro" w:cs="Minion Pro"/>
        </w:rPr>
      </w:pPr>
    </w:p>
    <w:p w14:paraId="36F333A8" w14:textId="506BBF53" w:rsidR="00235399" w:rsidRDefault="00235399" w:rsidP="00235399">
      <w:pPr>
        <w:pStyle w:val="body"/>
      </w:pPr>
      <w:r>
        <w:t xml:space="preserve">When respondents were asked about which policies they did NOT support, </w:t>
      </w:r>
      <w:r w:rsidR="003D7843">
        <w:rPr>
          <w:rFonts w:ascii="Brandon Text Medium" w:hAnsi="Brandon Text Medium" w:cs="Brandon Text Medium"/>
        </w:rPr>
        <w:t>29</w:t>
      </w:r>
      <w:r>
        <w:rPr>
          <w:rFonts w:ascii="Brandon Text Medium" w:hAnsi="Brandon Text Medium" w:cs="Brandon Text Medium"/>
        </w:rPr>
        <w:t>%</w:t>
      </w:r>
      <w:r>
        <w:t xml:space="preserve"> indicated that they did not support </w:t>
      </w:r>
      <w:r>
        <w:rPr>
          <w:rFonts w:ascii="Minion Pro" w:hAnsi="Minion Pro" w:cs="Minion Pro"/>
        </w:rPr>
        <w:t>“</w:t>
      </w:r>
      <w:r>
        <w:rPr>
          <w:i/>
          <w:iCs/>
        </w:rPr>
        <w:t>More financial help for large businesses</w:t>
      </w:r>
      <w:r>
        <w:t>.</w:t>
      </w:r>
      <w:r>
        <w:rPr>
          <w:rFonts w:ascii="Minion Pro" w:hAnsi="Minion Pro" w:cs="Minion Pro"/>
        </w:rPr>
        <w:t>”</w:t>
      </w:r>
      <w:r>
        <w:t xml:space="preserve"> Trailing behind that (with </w:t>
      </w:r>
      <w:r w:rsidR="003D7843">
        <w:rPr>
          <w:rFonts w:ascii="Brandon Text Medium" w:hAnsi="Brandon Text Medium" w:cs="Brandon Text Medium"/>
        </w:rPr>
        <w:t>26</w:t>
      </w:r>
      <w:r>
        <w:rPr>
          <w:rFonts w:ascii="Brandon Text Medium" w:hAnsi="Brandon Text Medium" w:cs="Brandon Text Medium"/>
        </w:rPr>
        <w:t>%</w:t>
      </w:r>
      <w:r>
        <w:t xml:space="preserve"> of respondents selecting) was </w:t>
      </w:r>
      <w:r>
        <w:rPr>
          <w:rFonts w:ascii="Minion Pro" w:hAnsi="Minion Pro" w:cs="Minion Pro"/>
        </w:rPr>
        <w:t>“</w:t>
      </w:r>
      <w:r>
        <w:rPr>
          <w:i/>
          <w:iCs/>
        </w:rPr>
        <w:t>Universal health coverage for all</w:t>
      </w:r>
      <w:r>
        <w:t>,</w:t>
      </w:r>
      <w:r>
        <w:rPr>
          <w:rFonts w:ascii="Minion Pro" w:hAnsi="Minion Pro" w:cs="Minion Pro"/>
        </w:rPr>
        <w:t>”</w:t>
      </w:r>
      <w:r>
        <w:t xml:space="preserve"> although a higher percentage of respondents indicated support. In this area, there was a lack of agreement across party lines, with Republicans far more likely to NOT support </w:t>
      </w:r>
      <w:r>
        <w:rPr>
          <w:rFonts w:ascii="Minion Pro" w:hAnsi="Minion Pro" w:cs="Minion Pro"/>
        </w:rPr>
        <w:t>“</w:t>
      </w:r>
      <w:r>
        <w:rPr>
          <w:i/>
          <w:iCs/>
        </w:rPr>
        <w:t>Universal health coverage for all</w:t>
      </w:r>
      <w:r>
        <w:rPr>
          <w:rFonts w:ascii="Minion Pro" w:hAnsi="Minion Pro" w:cs="Minion Pro"/>
        </w:rPr>
        <w:t>”</w:t>
      </w:r>
      <w:r>
        <w:t xml:space="preserve"> as a means to address COVID-19 concerns, compared to Democrats and those not affiliated with either party (see Table </w:t>
      </w:r>
      <w:r w:rsidR="00D07F4F">
        <w:t>6</w:t>
      </w:r>
      <w:r w:rsidR="00CF072C">
        <w:t>)</w:t>
      </w:r>
      <w:r>
        <w:t xml:space="preserve">. It is important to note, however, that when asked generically </w:t>
      </w:r>
      <w:r w:rsidRPr="001637AC">
        <w:t xml:space="preserve">about </w:t>
      </w:r>
      <w:r w:rsidRPr="001637AC">
        <w:rPr>
          <w:rFonts w:ascii="Minion Pro" w:hAnsi="Minion Pro" w:cs="Minion Pro"/>
        </w:rPr>
        <w:t>“</w:t>
      </w:r>
      <w:r w:rsidRPr="001637AC">
        <w:rPr>
          <w:i/>
          <w:iCs/>
        </w:rPr>
        <w:t>Expanding health insurance options so that everyone can afford quality coverage</w:t>
      </w:r>
      <w:r w:rsidRPr="001637AC">
        <w:t>,</w:t>
      </w:r>
      <w:r w:rsidRPr="001637AC">
        <w:rPr>
          <w:rFonts w:ascii="Minion Pro" w:hAnsi="Minion Pro" w:cs="Minion Pro"/>
        </w:rPr>
        <w:t>”</w:t>
      </w:r>
      <w:r w:rsidRPr="001637AC">
        <w:t xml:space="preserve"> </w:t>
      </w:r>
      <w:r w:rsidR="00604686">
        <w:rPr>
          <w:rFonts w:ascii="Brandon Text Medium" w:hAnsi="Brandon Text Medium" w:cs="Brandon Text Medium"/>
        </w:rPr>
        <w:t>81</w:t>
      </w:r>
      <w:r w:rsidRPr="001637AC">
        <w:rPr>
          <w:rFonts w:ascii="Brandon Text Medium" w:hAnsi="Brandon Text Medium" w:cs="Brandon Text Medium"/>
        </w:rPr>
        <w:t>%</w:t>
      </w:r>
      <w:r w:rsidRPr="001637AC">
        <w:t xml:space="preserve"> of</w:t>
      </w:r>
      <w:r>
        <w:t xml:space="preserve"> respondents agreed or strongly agreed with this policy as a means of improving affordability, with high levels of support across party lines (see Table 3).</w:t>
      </w:r>
    </w:p>
    <w:p w14:paraId="2B117DB0" w14:textId="77777777" w:rsidR="00235399" w:rsidRDefault="00235399" w:rsidP="00235399">
      <w:pPr>
        <w:rPr>
          <w:b/>
        </w:rPr>
      </w:pPr>
    </w:p>
    <w:p w14:paraId="590F919E" w14:textId="5097C0C6" w:rsidR="00235399" w:rsidRDefault="00235399" w:rsidP="00235399">
      <w:pPr>
        <w:rPr>
          <w:b/>
        </w:rPr>
      </w:pPr>
      <w:r w:rsidRPr="00AA7487">
        <w:rPr>
          <w:b/>
        </w:rPr>
        <w:t xml:space="preserve">Table </w:t>
      </w:r>
      <w:r w:rsidR="00EE0895">
        <w:rPr>
          <w:b/>
        </w:rPr>
        <w:t>6</w:t>
      </w:r>
      <w:r w:rsidRPr="00AA7487">
        <w:rPr>
          <w:b/>
        </w:rPr>
        <w:t xml:space="preserve">: </w:t>
      </w:r>
      <w:r>
        <w:rPr>
          <w:b/>
        </w:rPr>
        <w:t xml:space="preserve">Support for COVID Policy: </w:t>
      </w:r>
      <w:r w:rsidRPr="00AA7487">
        <w:rPr>
          <w:rFonts w:ascii="Calibri" w:eastAsia="Times New Roman" w:hAnsi="Calibri" w:cs="Times New Roman"/>
          <w:i/>
          <w:color w:val="000000"/>
        </w:rPr>
        <w:t xml:space="preserve">Universal </w:t>
      </w:r>
      <w:r>
        <w:rPr>
          <w:rFonts w:ascii="Calibri" w:eastAsia="Times New Roman" w:hAnsi="Calibri" w:cs="Times New Roman"/>
          <w:i/>
          <w:color w:val="000000"/>
        </w:rPr>
        <w:t>H</w:t>
      </w:r>
      <w:r w:rsidRPr="00AA7487">
        <w:rPr>
          <w:rFonts w:ascii="Calibri" w:eastAsia="Times New Roman" w:hAnsi="Calibri" w:cs="Times New Roman"/>
          <w:i/>
          <w:color w:val="000000"/>
        </w:rPr>
        <w:t xml:space="preserve">ealth </w:t>
      </w:r>
      <w:r>
        <w:rPr>
          <w:rFonts w:ascii="Calibri" w:eastAsia="Times New Roman" w:hAnsi="Calibri" w:cs="Times New Roman"/>
          <w:i/>
          <w:color w:val="000000"/>
        </w:rPr>
        <w:t>C</w:t>
      </w:r>
      <w:r w:rsidRPr="00AA7487">
        <w:rPr>
          <w:rFonts w:ascii="Calibri" w:eastAsia="Times New Roman" w:hAnsi="Calibri" w:cs="Times New Roman"/>
          <w:i/>
          <w:color w:val="000000"/>
        </w:rPr>
        <w:t xml:space="preserve">overage for </w:t>
      </w:r>
      <w:r>
        <w:rPr>
          <w:rFonts w:ascii="Calibri" w:eastAsia="Times New Roman" w:hAnsi="Calibri" w:cs="Times New Roman"/>
          <w:i/>
          <w:color w:val="000000"/>
        </w:rPr>
        <w:t>A</w:t>
      </w:r>
      <w:r w:rsidRPr="00AA7487">
        <w:rPr>
          <w:rFonts w:ascii="Calibri" w:eastAsia="Times New Roman" w:hAnsi="Calibri" w:cs="Times New Roman"/>
          <w:i/>
          <w:color w:val="000000"/>
        </w:rPr>
        <w:t>ll</w:t>
      </w:r>
    </w:p>
    <w:tbl>
      <w:tblPr>
        <w:tblStyle w:val="TableGrid"/>
        <w:tblW w:w="0" w:type="auto"/>
        <w:tblLook w:val="04A0" w:firstRow="1" w:lastRow="0" w:firstColumn="1" w:lastColumn="0" w:noHBand="0" w:noVBand="1"/>
      </w:tblPr>
      <w:tblGrid>
        <w:gridCol w:w="2330"/>
        <w:gridCol w:w="2348"/>
        <w:gridCol w:w="2317"/>
      </w:tblGrid>
      <w:tr w:rsidR="00235399" w:rsidRPr="009704C7" w14:paraId="17159CBE" w14:textId="77777777" w:rsidTr="00CC3630">
        <w:tc>
          <w:tcPr>
            <w:tcW w:w="2330" w:type="dxa"/>
          </w:tcPr>
          <w:p w14:paraId="45523B95" w14:textId="48CAC079" w:rsidR="00235399" w:rsidRPr="009704C7" w:rsidRDefault="00235399" w:rsidP="00CC3630">
            <w:pPr>
              <w:rPr>
                <w:b/>
              </w:rPr>
            </w:pPr>
            <w:r w:rsidRPr="001929FB">
              <w:rPr>
                <w:b/>
                <w:spacing w:val="-3"/>
                <w:w w:val="130"/>
                <w:sz w:val="20"/>
              </w:rPr>
              <w:t>Generally speaking, do you think of yourself as</w:t>
            </w:r>
            <w:r w:rsidRPr="009704C7">
              <w:rPr>
                <w:b/>
                <w:spacing w:val="-3"/>
                <w:w w:val="130"/>
                <w:sz w:val="20"/>
              </w:rPr>
              <w:t>…</w:t>
            </w:r>
          </w:p>
        </w:tc>
        <w:tc>
          <w:tcPr>
            <w:tcW w:w="2348" w:type="dxa"/>
          </w:tcPr>
          <w:p w14:paraId="7EC48D28" w14:textId="77777777" w:rsidR="00235399" w:rsidRPr="00344C59" w:rsidRDefault="00235399" w:rsidP="00CC3630">
            <w:pPr>
              <w:jc w:val="center"/>
              <w:rPr>
                <w:b/>
              </w:rPr>
            </w:pPr>
            <w:r w:rsidRPr="00314BFB">
              <w:rPr>
                <w:rFonts w:ascii="Calibri" w:hAnsi="Calibri"/>
                <w:b/>
                <w:color w:val="000000"/>
              </w:rPr>
              <w:t xml:space="preserve">Percent of </w:t>
            </w:r>
            <w:r>
              <w:rPr>
                <w:rFonts w:ascii="Calibri" w:hAnsi="Calibri"/>
                <w:b/>
                <w:color w:val="000000"/>
              </w:rPr>
              <w:t>Respondents Who Selected Universal Coverage as One of their Top 3 Policies SUPPORTED</w:t>
            </w:r>
          </w:p>
        </w:tc>
        <w:tc>
          <w:tcPr>
            <w:tcW w:w="2317" w:type="dxa"/>
          </w:tcPr>
          <w:p w14:paraId="5568230D" w14:textId="77777777" w:rsidR="00235399" w:rsidRPr="00344C59" w:rsidRDefault="00235399" w:rsidP="00CC3630">
            <w:pPr>
              <w:jc w:val="center"/>
              <w:rPr>
                <w:b/>
              </w:rPr>
            </w:pPr>
            <w:r w:rsidRPr="00314BFB">
              <w:rPr>
                <w:rFonts w:ascii="Calibri" w:hAnsi="Calibri"/>
                <w:b/>
                <w:color w:val="000000"/>
              </w:rPr>
              <w:t xml:space="preserve">Percent of </w:t>
            </w:r>
            <w:r>
              <w:rPr>
                <w:rFonts w:ascii="Calibri" w:hAnsi="Calibri"/>
                <w:b/>
                <w:color w:val="000000"/>
              </w:rPr>
              <w:t>Respondents Who Selected Universal Coverage as One of their Top 3 Policies NOT SUPPORTED</w:t>
            </w:r>
          </w:p>
        </w:tc>
      </w:tr>
      <w:tr w:rsidR="00235399" w:rsidRPr="009704C7" w14:paraId="0DEE533F" w14:textId="77777777" w:rsidTr="00CC3630">
        <w:tc>
          <w:tcPr>
            <w:tcW w:w="2330" w:type="dxa"/>
          </w:tcPr>
          <w:p w14:paraId="332AD188" w14:textId="77777777" w:rsidR="00235399" w:rsidRPr="009704C7" w:rsidRDefault="00235399" w:rsidP="00CC3630">
            <w:pPr>
              <w:rPr>
                <w:b/>
              </w:rPr>
            </w:pPr>
            <w:r w:rsidRPr="009704C7">
              <w:rPr>
                <w:b/>
              </w:rPr>
              <w:t>Republican</w:t>
            </w:r>
          </w:p>
        </w:tc>
        <w:tc>
          <w:tcPr>
            <w:tcW w:w="2348" w:type="dxa"/>
            <w:vAlign w:val="center"/>
          </w:tcPr>
          <w:p w14:paraId="0CB52434" w14:textId="69C47618" w:rsidR="00235399" w:rsidRPr="00012CA7" w:rsidRDefault="00604686" w:rsidP="00CC3630">
            <w:pPr>
              <w:jc w:val="center"/>
            </w:pPr>
            <w:r>
              <w:t>15</w:t>
            </w:r>
            <w:r w:rsidR="00235399">
              <w:t>%</w:t>
            </w:r>
          </w:p>
        </w:tc>
        <w:tc>
          <w:tcPr>
            <w:tcW w:w="2317" w:type="dxa"/>
            <w:vAlign w:val="center"/>
          </w:tcPr>
          <w:p w14:paraId="1C3A918B" w14:textId="0AE196AE" w:rsidR="00235399" w:rsidRPr="00012CA7" w:rsidRDefault="00235399" w:rsidP="00CC3630">
            <w:pPr>
              <w:spacing w:line="259" w:lineRule="auto"/>
              <w:jc w:val="center"/>
              <w:rPr>
                <w:rFonts w:ascii="Calibri" w:eastAsia="Calibri" w:hAnsi="Calibri" w:cs="Calibri"/>
              </w:rPr>
            </w:pPr>
            <w:r>
              <w:t>46%</w:t>
            </w:r>
          </w:p>
        </w:tc>
      </w:tr>
      <w:tr w:rsidR="00235399" w:rsidRPr="009704C7" w14:paraId="40919E0F" w14:textId="77777777" w:rsidTr="00CC3630">
        <w:tc>
          <w:tcPr>
            <w:tcW w:w="2330" w:type="dxa"/>
          </w:tcPr>
          <w:p w14:paraId="0AFC51E3" w14:textId="77777777" w:rsidR="00235399" w:rsidRPr="009704C7" w:rsidRDefault="00235399" w:rsidP="00CC3630">
            <w:pPr>
              <w:rPr>
                <w:b/>
              </w:rPr>
            </w:pPr>
            <w:r w:rsidRPr="009704C7">
              <w:rPr>
                <w:b/>
              </w:rPr>
              <w:t>Democrat</w:t>
            </w:r>
          </w:p>
        </w:tc>
        <w:tc>
          <w:tcPr>
            <w:tcW w:w="2348" w:type="dxa"/>
            <w:vAlign w:val="center"/>
          </w:tcPr>
          <w:p w14:paraId="0CDE1536" w14:textId="13BFF3E7" w:rsidR="00235399" w:rsidRPr="00012CA7" w:rsidRDefault="00604686" w:rsidP="00CC3630">
            <w:pPr>
              <w:spacing w:line="259" w:lineRule="auto"/>
              <w:jc w:val="center"/>
              <w:rPr>
                <w:rFonts w:ascii="Calibri" w:eastAsia="Calibri" w:hAnsi="Calibri" w:cs="Calibri"/>
              </w:rPr>
            </w:pPr>
            <w:r>
              <w:t>38</w:t>
            </w:r>
            <w:r w:rsidR="00235399">
              <w:t>%</w:t>
            </w:r>
          </w:p>
        </w:tc>
        <w:tc>
          <w:tcPr>
            <w:tcW w:w="2317" w:type="dxa"/>
            <w:vAlign w:val="center"/>
          </w:tcPr>
          <w:p w14:paraId="3EE05E62" w14:textId="7C9AAEAF" w:rsidR="00235399" w:rsidRPr="00012CA7" w:rsidRDefault="00604686" w:rsidP="00CC3630">
            <w:pPr>
              <w:spacing w:line="259" w:lineRule="auto"/>
              <w:jc w:val="center"/>
              <w:rPr>
                <w:rFonts w:ascii="Calibri" w:eastAsia="Calibri" w:hAnsi="Calibri" w:cs="Calibri"/>
              </w:rPr>
            </w:pPr>
            <w:r>
              <w:t>12</w:t>
            </w:r>
            <w:r w:rsidR="00235399">
              <w:t>%</w:t>
            </w:r>
          </w:p>
        </w:tc>
      </w:tr>
      <w:tr w:rsidR="00235399" w:rsidRPr="009704C7" w14:paraId="31B7D359" w14:textId="77777777" w:rsidTr="00CC3630">
        <w:tc>
          <w:tcPr>
            <w:tcW w:w="2330" w:type="dxa"/>
          </w:tcPr>
          <w:p w14:paraId="2D6971BA" w14:textId="77777777" w:rsidR="00235399" w:rsidRPr="009704C7" w:rsidRDefault="00235399" w:rsidP="00CC3630">
            <w:pPr>
              <w:rPr>
                <w:b/>
                <w:bCs/>
              </w:rPr>
            </w:pPr>
            <w:r w:rsidRPr="3BA7570E">
              <w:rPr>
                <w:b/>
                <w:bCs/>
              </w:rPr>
              <w:t>Neither</w:t>
            </w:r>
          </w:p>
        </w:tc>
        <w:tc>
          <w:tcPr>
            <w:tcW w:w="2348" w:type="dxa"/>
            <w:vAlign w:val="center"/>
          </w:tcPr>
          <w:p w14:paraId="413CC2F6" w14:textId="4814B35A" w:rsidR="00235399" w:rsidRPr="00012CA7" w:rsidRDefault="00604686" w:rsidP="00CC3630">
            <w:pPr>
              <w:spacing w:line="259" w:lineRule="auto"/>
              <w:jc w:val="center"/>
              <w:rPr>
                <w:rFonts w:ascii="Calibri" w:eastAsia="Calibri" w:hAnsi="Calibri" w:cs="Calibri"/>
              </w:rPr>
            </w:pPr>
            <w:r>
              <w:t>37</w:t>
            </w:r>
            <w:r w:rsidR="00235399">
              <w:t>%</w:t>
            </w:r>
          </w:p>
        </w:tc>
        <w:tc>
          <w:tcPr>
            <w:tcW w:w="2317" w:type="dxa"/>
            <w:vAlign w:val="center"/>
          </w:tcPr>
          <w:p w14:paraId="531041C4" w14:textId="2112ACDB" w:rsidR="00235399" w:rsidRPr="00012CA7" w:rsidRDefault="00604686" w:rsidP="00CC3630">
            <w:pPr>
              <w:spacing w:line="259" w:lineRule="auto"/>
              <w:jc w:val="center"/>
              <w:rPr>
                <w:rFonts w:ascii="Calibri" w:eastAsia="Calibri" w:hAnsi="Calibri" w:cs="Calibri"/>
              </w:rPr>
            </w:pPr>
            <w:r>
              <w:t>22</w:t>
            </w:r>
            <w:r w:rsidR="00235399">
              <w:t>%</w:t>
            </w:r>
          </w:p>
        </w:tc>
      </w:tr>
    </w:tbl>
    <w:p w14:paraId="7433BA52" w14:textId="12AC1BFE" w:rsidR="00235399" w:rsidRPr="001929FB" w:rsidRDefault="00235399" w:rsidP="00235399">
      <w:pPr>
        <w:spacing w:before="28"/>
      </w:pPr>
      <w:r>
        <w:rPr>
          <w:rFonts w:ascii="BrandonText-RegularItalic"/>
          <w:i/>
          <w:sz w:val="16"/>
        </w:rPr>
        <w:lastRenderedPageBreak/>
        <w:t>Source: 2021</w:t>
      </w:r>
      <w:r w:rsidRPr="00012CA7">
        <w:rPr>
          <w:rFonts w:ascii="BrandonText-RegularItalic"/>
          <w:i/>
          <w:sz w:val="16"/>
        </w:rPr>
        <w:t xml:space="preserve"> Poll of </w:t>
      </w:r>
      <w:r w:rsidR="00604686">
        <w:rPr>
          <w:rFonts w:ascii="BrandonText-RegularItalic"/>
          <w:i/>
          <w:sz w:val="16"/>
        </w:rPr>
        <w:t>Georgia</w:t>
      </w:r>
      <w:r w:rsidRPr="00012CA7">
        <w:rPr>
          <w:rFonts w:ascii="BrandonText-RegularItalic"/>
          <w:i/>
          <w:sz w:val="16"/>
        </w:rPr>
        <w:t xml:space="preserve"> Adults, Ages 18+, Altarum Healthcare Value Hub's Consumer Healthcare Experience State Survey</w:t>
      </w:r>
    </w:p>
    <w:p w14:paraId="6652BA97" w14:textId="1C3562F1" w:rsidR="00235399" w:rsidRDefault="00235399" w:rsidP="00235399">
      <w:pPr>
        <w:pStyle w:val="body"/>
      </w:pPr>
      <w:r>
        <w:t xml:space="preserve">When asked about the policies they did NOT support, respondents were given the option of selecting </w:t>
      </w:r>
      <w:r>
        <w:rPr>
          <w:rFonts w:ascii="Minion Pro" w:hAnsi="Minion Pro" w:cs="Minion Pro"/>
        </w:rPr>
        <w:t>“</w:t>
      </w:r>
      <w:r>
        <w:rPr>
          <w:i/>
          <w:iCs/>
        </w:rPr>
        <w:t>I support all of the policies listed</w:t>
      </w:r>
      <w:r>
        <w:t>.</w:t>
      </w:r>
      <w:r>
        <w:rPr>
          <w:rFonts w:ascii="Minion Pro" w:hAnsi="Minion Pro" w:cs="Minion Pro"/>
        </w:rPr>
        <w:t>”</w:t>
      </w:r>
      <w:r w:rsidR="00604686">
        <w:t xml:space="preserve"> Twenty-seven</w:t>
      </w:r>
      <w:r>
        <w:t xml:space="preserve"> percent of respondents selected this option.</w:t>
      </w:r>
    </w:p>
    <w:p w14:paraId="0ECD1158" w14:textId="77777777" w:rsidR="00235399" w:rsidRDefault="00235399" w:rsidP="00235399">
      <w:pPr>
        <w:pStyle w:val="body"/>
      </w:pPr>
      <w:r>
        <w:t xml:space="preserve">The high burden of healthcare affordability, along with high levels of support for change, suggest that elected leaders and other stakeholders need to make addressing this consumer burden a top priority. Moreover, the current COVID crisis is leading state residents to take a hard look at how well health and public health systems are working for them, with strong support for a wide variety of actions. Annual surveys can help assess whether or not progress is being made. </w:t>
      </w:r>
    </w:p>
    <w:p w14:paraId="64F1E656" w14:textId="77777777" w:rsidR="005C5FC0" w:rsidRDefault="005C5FC0" w:rsidP="005C5FC0">
      <w:pPr>
        <w:pStyle w:val="SubheadBlue"/>
      </w:pPr>
      <w:r>
        <w:t>Notes</w:t>
      </w:r>
    </w:p>
    <w:p w14:paraId="2F1E599E" w14:textId="121BD7E3" w:rsidR="005C5FC0" w:rsidRDefault="005C5FC0" w:rsidP="005C5FC0">
      <w:pPr>
        <w:pStyle w:val="Notes"/>
        <w:rPr>
          <w:spacing w:val="2"/>
          <w:sz w:val="21"/>
          <w:szCs w:val="21"/>
        </w:rPr>
      </w:pPr>
      <w:commentRangeStart w:id="3"/>
      <w:r>
        <w:rPr>
          <w:spacing w:val="2"/>
          <w:sz w:val="21"/>
          <w:szCs w:val="21"/>
        </w:rPr>
        <w:t>1.</w:t>
      </w:r>
      <w:r>
        <w:tab/>
      </w:r>
      <w:r w:rsidRPr="357D26C1">
        <w:rPr>
          <w:i/>
          <w:iCs/>
          <w:spacing w:val="2"/>
          <w:sz w:val="21"/>
          <w:szCs w:val="21"/>
        </w:rPr>
        <w:t>Governor Lamont Signs Executive Order Asking Connecticut Businesses and Residents: 'Stay Safe, Stay Home</w:t>
      </w:r>
      <w:r>
        <w:rPr>
          <w:spacing w:val="2"/>
          <w:sz w:val="21"/>
          <w:szCs w:val="21"/>
        </w:rPr>
        <w:t xml:space="preserve">,' Press Release (March 20, 2020) and </w:t>
      </w:r>
      <w:r w:rsidRPr="357D26C1">
        <w:rPr>
          <w:i/>
          <w:iCs/>
          <w:spacing w:val="2"/>
          <w:sz w:val="21"/>
          <w:szCs w:val="21"/>
        </w:rPr>
        <w:t>Reopen Connecticut is Working to Get Connecticut Back in Business in the Safest Way Possible,</w:t>
      </w:r>
      <w:r>
        <w:rPr>
          <w:spacing w:val="2"/>
          <w:sz w:val="21"/>
          <w:szCs w:val="21"/>
        </w:rPr>
        <w:t xml:space="preserve"> Reopen Connecticut (May 20, 2020). </w:t>
      </w:r>
    </w:p>
    <w:p w14:paraId="3A60DD36" w14:textId="77777777" w:rsidR="005C5FC0" w:rsidRDefault="005C5FC0" w:rsidP="005C5FC0">
      <w:pPr>
        <w:pStyle w:val="Notes"/>
        <w:rPr>
          <w:spacing w:val="2"/>
          <w:sz w:val="21"/>
          <w:szCs w:val="21"/>
        </w:rPr>
      </w:pPr>
      <w:r>
        <w:rPr>
          <w:spacing w:val="2"/>
          <w:sz w:val="21"/>
          <w:szCs w:val="21"/>
        </w:rPr>
        <w:t>2.</w:t>
      </w:r>
      <w:r>
        <w:rPr>
          <w:spacing w:val="2"/>
          <w:sz w:val="21"/>
          <w:szCs w:val="21"/>
        </w:rPr>
        <w:tab/>
      </w:r>
      <w:r w:rsidRPr="357D26C1">
        <w:rPr>
          <w:i/>
          <w:iCs/>
          <w:spacing w:val="2"/>
          <w:sz w:val="21"/>
          <w:szCs w:val="21"/>
        </w:rPr>
        <w:t>COVID-19 Tests, Cases, Hospitalizations and Deaths (Statewide)</w:t>
      </w:r>
      <w:r>
        <w:rPr>
          <w:spacing w:val="2"/>
          <w:sz w:val="21"/>
          <w:szCs w:val="21"/>
        </w:rPr>
        <w:t xml:space="preserve">, Connecticut Department of Public Health. Retrieved from: https://data.ct.gov/Health-and-Human-Services/COVID-19-Tests-Cases-Hospitalizations-and-Deaths-S/rf3k-f8fg. </w:t>
      </w:r>
      <w:r w:rsidRPr="357D26C1">
        <w:rPr>
          <w:i/>
          <w:iCs/>
          <w:spacing w:val="2"/>
          <w:sz w:val="21"/>
          <w:szCs w:val="21"/>
        </w:rPr>
        <w:t>Average Weekly Unemployment Initial Claims Benefits</w:t>
      </w:r>
      <w:r>
        <w:rPr>
          <w:spacing w:val="2"/>
          <w:sz w:val="21"/>
          <w:szCs w:val="21"/>
        </w:rPr>
        <w:t>, Connecticut Department of Labor. Retrieved from: https://www1.ctdol.state.ct.us/lmi/awiclaims2.asp</w:t>
      </w:r>
      <w:commentRangeEnd w:id="3"/>
      <w:r w:rsidR="000770FB">
        <w:rPr>
          <w:rStyle w:val="CommentReference"/>
          <w:rFonts w:asciiTheme="minorHAnsi" w:hAnsiTheme="minorHAnsi" w:cstheme="minorBidi"/>
          <w:color w:val="auto"/>
        </w:rPr>
        <w:commentReference w:id="3"/>
      </w:r>
    </w:p>
    <w:p w14:paraId="4A90E259" w14:textId="59EE13F1" w:rsidR="005C5FC0" w:rsidRDefault="005C5FC0" w:rsidP="005C5FC0">
      <w:pPr>
        <w:pStyle w:val="Notes"/>
        <w:rPr>
          <w:spacing w:val="2"/>
          <w:sz w:val="21"/>
          <w:szCs w:val="21"/>
        </w:rPr>
      </w:pPr>
      <w:r>
        <w:rPr>
          <w:spacing w:val="2"/>
          <w:sz w:val="21"/>
          <w:szCs w:val="21"/>
        </w:rPr>
        <w:t xml:space="preserve">3. </w:t>
      </w:r>
      <w:r>
        <w:tab/>
      </w:r>
      <w:r w:rsidR="00162160">
        <w:rPr>
          <w:spacing w:val="2"/>
          <w:sz w:val="21"/>
          <w:szCs w:val="21"/>
        </w:rPr>
        <w:t>Of the 5</w:t>
      </w:r>
      <w:r w:rsidR="00A3286E">
        <w:rPr>
          <w:spacing w:val="2"/>
          <w:sz w:val="21"/>
          <w:szCs w:val="21"/>
        </w:rPr>
        <w:t>8% of Georgia</w:t>
      </w:r>
      <w:r>
        <w:rPr>
          <w:spacing w:val="2"/>
          <w:sz w:val="21"/>
          <w:szCs w:val="21"/>
        </w:rPr>
        <w:t xml:space="preserve"> adults who encountered one or more cost-related barriers to getting healthcare dur</w:t>
      </w:r>
      <w:r w:rsidR="00A3286E">
        <w:rPr>
          <w:spacing w:val="2"/>
          <w:sz w:val="21"/>
          <w:szCs w:val="21"/>
        </w:rPr>
        <w:t>ing the prior 12 months, 28</w:t>
      </w:r>
      <w:r>
        <w:rPr>
          <w:spacing w:val="2"/>
          <w:sz w:val="21"/>
          <w:szCs w:val="21"/>
        </w:rPr>
        <w:t>% did n</w:t>
      </w:r>
      <w:r w:rsidR="00A3286E">
        <w:rPr>
          <w:spacing w:val="2"/>
          <w:sz w:val="21"/>
          <w:szCs w:val="21"/>
        </w:rPr>
        <w:t>ot fill a prescription, while 27</w:t>
      </w:r>
      <w:r>
        <w:rPr>
          <w:spacing w:val="2"/>
          <w:sz w:val="21"/>
          <w:szCs w:val="21"/>
        </w:rPr>
        <w:t>% cut pills in half or skipped doses of medicine due to cost.</w:t>
      </w:r>
    </w:p>
    <w:p w14:paraId="1F43F285" w14:textId="1D7FDACC" w:rsidR="009B53EB" w:rsidRDefault="00B33546" w:rsidP="005C5FC0">
      <w:pPr>
        <w:pStyle w:val="Notes"/>
        <w:rPr>
          <w:spacing w:val="2"/>
          <w:sz w:val="21"/>
          <w:szCs w:val="21"/>
        </w:rPr>
      </w:pPr>
      <w:r>
        <w:rPr>
          <w:spacing w:val="2"/>
          <w:sz w:val="21"/>
          <w:szCs w:val="21"/>
        </w:rPr>
        <w:t>4</w:t>
      </w:r>
      <w:r w:rsidR="005C5FC0">
        <w:rPr>
          <w:spacing w:val="2"/>
          <w:sz w:val="21"/>
          <w:szCs w:val="21"/>
        </w:rPr>
        <w:t>.</w:t>
      </w:r>
      <w:r w:rsidR="005C5FC0">
        <w:rPr>
          <w:spacing w:val="2"/>
          <w:sz w:val="21"/>
          <w:szCs w:val="21"/>
        </w:rPr>
        <w:tab/>
        <w:t>Median</w:t>
      </w:r>
      <w:r w:rsidR="00162160">
        <w:rPr>
          <w:spacing w:val="2"/>
          <w:sz w:val="21"/>
          <w:szCs w:val="21"/>
        </w:rPr>
        <w:t xml:space="preserve"> household</w:t>
      </w:r>
      <w:r w:rsidR="00FE4899">
        <w:rPr>
          <w:spacing w:val="2"/>
          <w:sz w:val="21"/>
          <w:szCs w:val="21"/>
        </w:rPr>
        <w:t xml:space="preserve"> income in </w:t>
      </w:r>
      <w:r w:rsidR="00B3382D">
        <w:rPr>
          <w:spacing w:val="2"/>
          <w:sz w:val="21"/>
          <w:szCs w:val="21"/>
        </w:rPr>
        <w:t xml:space="preserve">Georgia </w:t>
      </w:r>
      <w:r w:rsidR="00FE4899">
        <w:rPr>
          <w:spacing w:val="2"/>
          <w:sz w:val="21"/>
          <w:szCs w:val="21"/>
        </w:rPr>
        <w:t>was $58,700</w:t>
      </w:r>
      <w:r w:rsidR="00162160">
        <w:rPr>
          <w:spacing w:val="2"/>
          <w:sz w:val="21"/>
          <w:szCs w:val="21"/>
        </w:rPr>
        <w:t xml:space="preserve"> (2015-2019</w:t>
      </w:r>
      <w:r w:rsidR="005C5FC0">
        <w:rPr>
          <w:spacing w:val="2"/>
          <w:sz w:val="21"/>
          <w:szCs w:val="21"/>
        </w:rPr>
        <w:t xml:space="preserve">). U.S. Census, </w:t>
      </w:r>
      <w:r w:rsidR="005C5FC0">
        <w:rPr>
          <w:i/>
          <w:iCs/>
          <w:spacing w:val="2"/>
          <w:sz w:val="21"/>
          <w:szCs w:val="21"/>
        </w:rPr>
        <w:t>Quick Facts</w:t>
      </w:r>
      <w:r w:rsidR="005C5FC0">
        <w:rPr>
          <w:spacing w:val="2"/>
          <w:sz w:val="21"/>
          <w:szCs w:val="21"/>
        </w:rPr>
        <w:t xml:space="preserve">. Retrieved from: </w:t>
      </w:r>
      <w:hyperlink r:id="rId14" w:history="1">
        <w:r w:rsidR="00FE4899">
          <w:rPr>
            <w:rStyle w:val="Hyperlink"/>
          </w:rPr>
          <w:t>U.S. Census Bureau QuickFacts: Georgia</w:t>
        </w:r>
      </w:hyperlink>
    </w:p>
    <w:p w14:paraId="21185086" w14:textId="7EFAD5F6" w:rsidR="006C52AF" w:rsidRDefault="00B33546" w:rsidP="00B348AE">
      <w:pPr>
        <w:pStyle w:val="Notes"/>
      </w:pPr>
      <w:r>
        <w:t>5</w:t>
      </w:r>
      <w:r w:rsidR="009B53EB">
        <w:t>.</w:t>
      </w:r>
      <w:r w:rsidR="009B53EB">
        <w:tab/>
      </w:r>
      <w:r w:rsidR="00BA6987" w:rsidRPr="009B1C28">
        <w:rPr>
          <w:rFonts w:cs="Arial"/>
          <w:sz w:val="21"/>
          <w:szCs w:val="21"/>
          <w:shd w:val="clear" w:color="auto" w:fill="FFFFFF"/>
        </w:rPr>
        <w:t>COVID-19 is the disease caused by the coronavirus, which was characterized as a pandemic by the World Health Organization on March 11, 2020. For a comparison of how respondents from Connecticut, Kentucky, Mississippi and New Jersey answered our COVID questions, please see Healthcare Value Hub, </w:t>
      </w:r>
      <w:hyperlink r:id="rId15" w:tgtFrame="_blank" w:history="1">
        <w:r w:rsidR="00BA6987" w:rsidRPr="009B1C28">
          <w:rPr>
            <w:rStyle w:val="Hyperlink"/>
            <w:rFonts w:cs="Arial"/>
            <w:i/>
            <w:iCs/>
            <w:color w:val="EC1C24"/>
            <w:sz w:val="21"/>
            <w:szCs w:val="21"/>
            <w:shd w:val="clear" w:color="auto" w:fill="FFFFFF"/>
          </w:rPr>
          <w:t>How COVID Has Shaped Residents’ Broader Attitudes Towards the Health System</w:t>
        </w:r>
      </w:hyperlink>
      <w:r w:rsidR="00BA6987" w:rsidRPr="009B1C28">
        <w:rPr>
          <w:rFonts w:cs="Arial"/>
          <w:sz w:val="21"/>
          <w:szCs w:val="21"/>
          <w:shd w:val="clear" w:color="auto" w:fill="FFFFFF"/>
        </w:rPr>
        <w:t>, Data Brief No. 86.  </w:t>
      </w:r>
    </w:p>
    <w:p w14:paraId="38A7F20F" w14:textId="1309B405" w:rsidR="3BA7570E" w:rsidRDefault="3BA7570E" w:rsidP="3BA7570E">
      <w:pPr>
        <w:rPr>
          <w:b/>
          <w:bCs/>
          <w:sz w:val="21"/>
          <w:szCs w:val="21"/>
        </w:rPr>
      </w:pPr>
    </w:p>
    <w:p w14:paraId="370CF7E1" w14:textId="573370EF" w:rsidR="673B9A3C" w:rsidRDefault="673B9A3C" w:rsidP="3BA7570E">
      <w:pPr>
        <w:rPr>
          <w:b/>
          <w:bCs/>
          <w:sz w:val="21"/>
          <w:szCs w:val="21"/>
        </w:rPr>
      </w:pPr>
      <w:r w:rsidRPr="3BA7570E">
        <w:rPr>
          <w:b/>
          <w:bCs/>
          <w:sz w:val="21"/>
          <w:szCs w:val="21"/>
        </w:rPr>
        <w:t>Methodology</w:t>
      </w:r>
    </w:p>
    <w:p w14:paraId="02396F7C" w14:textId="7A0A2547" w:rsidR="673B9A3C" w:rsidRDefault="673B9A3C" w:rsidP="3BA7570E">
      <w:proofErr w:type="spellStart"/>
      <w:r w:rsidRPr="3BA7570E">
        <w:rPr>
          <w:sz w:val="21"/>
          <w:szCs w:val="21"/>
        </w:rPr>
        <w:t>Altarum’s</w:t>
      </w:r>
      <w:proofErr w:type="spellEnd"/>
      <w:r w:rsidRPr="3BA7570E">
        <w:rPr>
          <w:sz w:val="21"/>
          <w:szCs w:val="21"/>
        </w:rPr>
        <w:t xml:space="preserve"> Consumer Healthcare Experience State Survey (CHESS) is designed to elicit respondents’ unbiased views on a wide range of health system issues, including confidence using the health system, financial burden and views on fixes that might be needed. </w:t>
      </w:r>
    </w:p>
    <w:p w14:paraId="1AD30E62" w14:textId="77777777" w:rsidR="00C90EAA" w:rsidRDefault="00C90EAA" w:rsidP="3BA7570E">
      <w:pPr>
        <w:rPr>
          <w:sz w:val="21"/>
          <w:szCs w:val="21"/>
        </w:rPr>
      </w:pPr>
    </w:p>
    <w:p w14:paraId="5E887A16" w14:textId="19D222A4" w:rsidR="673B9A3C" w:rsidRDefault="673B9A3C" w:rsidP="3BA7570E">
      <w:pPr>
        <w:rPr>
          <w:sz w:val="21"/>
          <w:szCs w:val="21"/>
        </w:rPr>
      </w:pPr>
      <w:r w:rsidRPr="3BA7570E">
        <w:rPr>
          <w:sz w:val="21"/>
          <w:szCs w:val="21"/>
        </w:rPr>
        <w:t xml:space="preserve">The survey used a web panel from </w:t>
      </w:r>
      <w:proofErr w:type="spellStart"/>
      <w:r w:rsidRPr="3BA7570E">
        <w:rPr>
          <w:sz w:val="21"/>
          <w:szCs w:val="21"/>
        </w:rPr>
        <w:t>Dynata</w:t>
      </w:r>
      <w:proofErr w:type="spellEnd"/>
      <w:r w:rsidRPr="3BA7570E">
        <w:rPr>
          <w:sz w:val="21"/>
          <w:szCs w:val="21"/>
        </w:rPr>
        <w:t xml:space="preserve"> with a demographically balanced sample of approximately 1,000 res</w:t>
      </w:r>
      <w:r w:rsidR="001042AF">
        <w:rPr>
          <w:sz w:val="21"/>
          <w:szCs w:val="21"/>
        </w:rPr>
        <w:t xml:space="preserve">pondents who live in </w:t>
      </w:r>
      <w:r w:rsidR="00DA049B">
        <w:rPr>
          <w:sz w:val="21"/>
          <w:szCs w:val="21"/>
        </w:rPr>
        <w:t>Georgia</w:t>
      </w:r>
      <w:r w:rsidR="00890F04">
        <w:rPr>
          <w:sz w:val="21"/>
          <w:szCs w:val="21"/>
        </w:rPr>
        <w:t xml:space="preserve">. The survey was conducted </w:t>
      </w:r>
      <w:r w:rsidRPr="3BA7570E">
        <w:rPr>
          <w:sz w:val="21"/>
          <w:szCs w:val="21"/>
        </w:rPr>
        <w:t>in English</w:t>
      </w:r>
      <w:r w:rsidR="00890F04">
        <w:rPr>
          <w:sz w:val="21"/>
          <w:szCs w:val="21"/>
        </w:rPr>
        <w:t xml:space="preserve"> or Spanish</w:t>
      </w:r>
      <w:r w:rsidRPr="3BA7570E">
        <w:rPr>
          <w:sz w:val="21"/>
          <w:szCs w:val="21"/>
        </w:rPr>
        <w:t xml:space="preserve"> and restricted to adults ages 18 and older. Respondents who finished the survey in less than half the median time were excluded </w:t>
      </w:r>
      <w:r w:rsidRPr="3BA7570E">
        <w:rPr>
          <w:sz w:val="21"/>
          <w:szCs w:val="21"/>
        </w:rPr>
        <w:lastRenderedPageBreak/>
        <w:t>from the final sample</w:t>
      </w:r>
      <w:r w:rsidR="00890F04">
        <w:rPr>
          <w:sz w:val="21"/>
          <w:szCs w:val="21"/>
        </w:rPr>
        <w:t>, leaving 9</w:t>
      </w:r>
      <w:r w:rsidR="003434B8">
        <w:rPr>
          <w:sz w:val="21"/>
          <w:szCs w:val="21"/>
        </w:rPr>
        <w:t>81</w:t>
      </w:r>
      <w:r w:rsidRPr="3BA7570E">
        <w:rPr>
          <w:sz w:val="21"/>
          <w:szCs w:val="21"/>
        </w:rPr>
        <w:t xml:space="preserve"> cases for analysis. After those exclusions, the demographic composition of respondents was as follows, although not all demographic information has complete response rates:</w:t>
      </w:r>
    </w:p>
    <w:p w14:paraId="4C1924CA" w14:textId="77777777" w:rsidR="00E914D7" w:rsidRDefault="00E914D7" w:rsidP="3BA7570E"/>
    <w:tbl>
      <w:tblPr>
        <w:tblStyle w:val="TableGrid"/>
        <w:tblW w:w="9360" w:type="dxa"/>
        <w:tblLayout w:type="fixed"/>
        <w:tblLook w:val="06A0" w:firstRow="1" w:lastRow="0" w:firstColumn="1" w:lastColumn="0" w:noHBand="1" w:noVBand="1"/>
      </w:tblPr>
      <w:tblGrid>
        <w:gridCol w:w="3120"/>
        <w:gridCol w:w="3120"/>
        <w:gridCol w:w="3120"/>
      </w:tblGrid>
      <w:tr w:rsidR="3BA7570E" w14:paraId="71CD2C9E" w14:textId="77777777" w:rsidTr="00762AB5">
        <w:tc>
          <w:tcPr>
            <w:tcW w:w="3120" w:type="dxa"/>
          </w:tcPr>
          <w:p w14:paraId="234AB216" w14:textId="65366605" w:rsidR="3BA7570E" w:rsidRDefault="3BA7570E">
            <w:r w:rsidRPr="3BA7570E">
              <w:rPr>
                <w:rFonts w:ascii="Calibri" w:eastAsia="Calibri" w:hAnsi="Calibri" w:cs="Calibri"/>
                <w:b/>
                <w:bCs/>
              </w:rPr>
              <w:t>Demographic Characteristic</w:t>
            </w:r>
          </w:p>
        </w:tc>
        <w:tc>
          <w:tcPr>
            <w:tcW w:w="3120" w:type="dxa"/>
          </w:tcPr>
          <w:p w14:paraId="259C717F" w14:textId="519447C1" w:rsidR="3BA7570E" w:rsidRDefault="3BA7570E" w:rsidP="3BA7570E">
            <w:pPr>
              <w:jc w:val="center"/>
            </w:pPr>
            <w:r w:rsidRPr="3BA7570E">
              <w:rPr>
                <w:rFonts w:ascii="Calibri" w:eastAsia="Calibri" w:hAnsi="Calibri" w:cs="Calibri"/>
                <w:b/>
                <w:bCs/>
              </w:rPr>
              <w:t>Frequency</w:t>
            </w:r>
          </w:p>
        </w:tc>
        <w:tc>
          <w:tcPr>
            <w:tcW w:w="3120" w:type="dxa"/>
          </w:tcPr>
          <w:p w14:paraId="25D809C6" w14:textId="203003A9" w:rsidR="3BA7570E" w:rsidRDefault="3BA7570E" w:rsidP="3BA7570E">
            <w:pPr>
              <w:jc w:val="center"/>
            </w:pPr>
            <w:r w:rsidRPr="3BA7570E">
              <w:rPr>
                <w:rFonts w:ascii="Calibri" w:eastAsia="Calibri" w:hAnsi="Calibri" w:cs="Calibri"/>
                <w:b/>
                <w:bCs/>
              </w:rPr>
              <w:t>Percentage</w:t>
            </w:r>
          </w:p>
        </w:tc>
      </w:tr>
      <w:tr w:rsidR="3BA7570E" w14:paraId="6E00B1E6" w14:textId="77777777" w:rsidTr="00762AB5">
        <w:tc>
          <w:tcPr>
            <w:tcW w:w="3120" w:type="dxa"/>
          </w:tcPr>
          <w:p w14:paraId="72108E58" w14:textId="0D330323" w:rsidR="3BA7570E" w:rsidRDefault="3BA7570E">
            <w:r w:rsidRPr="3BA7570E">
              <w:rPr>
                <w:rFonts w:ascii="Calibri" w:eastAsia="Calibri" w:hAnsi="Calibri" w:cs="Calibri"/>
                <w:b/>
                <w:bCs/>
                <w:i/>
                <w:iCs/>
              </w:rPr>
              <w:t>Gender</w:t>
            </w:r>
          </w:p>
        </w:tc>
        <w:tc>
          <w:tcPr>
            <w:tcW w:w="3120" w:type="dxa"/>
          </w:tcPr>
          <w:p w14:paraId="60E38AE8" w14:textId="4E5206B5" w:rsidR="3BA7570E" w:rsidRDefault="3BA7570E" w:rsidP="3BA7570E">
            <w:pPr>
              <w:jc w:val="center"/>
            </w:pPr>
            <w:r w:rsidRPr="3BA7570E">
              <w:rPr>
                <w:rFonts w:ascii="Calibri" w:eastAsia="Calibri" w:hAnsi="Calibri" w:cs="Calibri"/>
              </w:rPr>
              <w:t xml:space="preserve"> </w:t>
            </w:r>
          </w:p>
        </w:tc>
        <w:tc>
          <w:tcPr>
            <w:tcW w:w="3120" w:type="dxa"/>
          </w:tcPr>
          <w:p w14:paraId="783CF444" w14:textId="28660C5D" w:rsidR="3BA7570E" w:rsidRDefault="3BA7570E" w:rsidP="3BA7570E">
            <w:pPr>
              <w:jc w:val="center"/>
            </w:pPr>
            <w:r w:rsidRPr="3BA7570E">
              <w:rPr>
                <w:rFonts w:ascii="Calibri" w:eastAsia="Calibri" w:hAnsi="Calibri" w:cs="Calibri"/>
              </w:rPr>
              <w:t xml:space="preserve"> </w:t>
            </w:r>
          </w:p>
        </w:tc>
      </w:tr>
      <w:tr w:rsidR="3BA7570E" w14:paraId="202BB880" w14:textId="77777777" w:rsidTr="00762AB5">
        <w:tc>
          <w:tcPr>
            <w:tcW w:w="3120" w:type="dxa"/>
          </w:tcPr>
          <w:p w14:paraId="34D472FF" w14:textId="2C6ACF57" w:rsidR="3BA7570E" w:rsidRDefault="3BA7570E">
            <w:r w:rsidRPr="3BA7570E">
              <w:rPr>
                <w:rFonts w:ascii="Calibri" w:eastAsia="Calibri" w:hAnsi="Calibri" w:cs="Calibri"/>
              </w:rPr>
              <w:t xml:space="preserve">  Male</w:t>
            </w:r>
          </w:p>
        </w:tc>
        <w:tc>
          <w:tcPr>
            <w:tcW w:w="3120" w:type="dxa"/>
          </w:tcPr>
          <w:p w14:paraId="7EEE18CD" w14:textId="2D87A9D2" w:rsidR="3BA7570E" w:rsidRDefault="005717B8" w:rsidP="3BA7570E">
            <w:pPr>
              <w:jc w:val="center"/>
            </w:pPr>
            <w:r>
              <w:rPr>
                <w:rFonts w:ascii="Calibri" w:eastAsia="Calibri" w:hAnsi="Calibri" w:cs="Calibri"/>
              </w:rPr>
              <w:t>441</w:t>
            </w:r>
          </w:p>
        </w:tc>
        <w:tc>
          <w:tcPr>
            <w:tcW w:w="3120" w:type="dxa"/>
          </w:tcPr>
          <w:p w14:paraId="61E090BB" w14:textId="488AB8A0" w:rsidR="3BA7570E" w:rsidRDefault="00100EBC" w:rsidP="3BA7570E">
            <w:pPr>
              <w:jc w:val="center"/>
            </w:pPr>
            <w:r>
              <w:rPr>
                <w:rFonts w:ascii="Calibri" w:eastAsia="Calibri" w:hAnsi="Calibri" w:cs="Calibri"/>
              </w:rPr>
              <w:t>45</w:t>
            </w:r>
            <w:r w:rsidR="3BA7570E" w:rsidRPr="3BA7570E">
              <w:rPr>
                <w:rFonts w:ascii="Calibri" w:eastAsia="Calibri" w:hAnsi="Calibri" w:cs="Calibri"/>
              </w:rPr>
              <w:t>%</w:t>
            </w:r>
          </w:p>
        </w:tc>
      </w:tr>
      <w:tr w:rsidR="3BA7570E" w14:paraId="5AD1B82A" w14:textId="77777777" w:rsidTr="00762AB5">
        <w:tc>
          <w:tcPr>
            <w:tcW w:w="3120" w:type="dxa"/>
          </w:tcPr>
          <w:p w14:paraId="59542B12" w14:textId="5A161458" w:rsidR="3BA7570E" w:rsidRDefault="3BA7570E">
            <w:r w:rsidRPr="3BA7570E">
              <w:rPr>
                <w:rFonts w:ascii="Calibri" w:eastAsia="Calibri" w:hAnsi="Calibri" w:cs="Calibri"/>
              </w:rPr>
              <w:t xml:space="preserve">  Female</w:t>
            </w:r>
          </w:p>
        </w:tc>
        <w:tc>
          <w:tcPr>
            <w:tcW w:w="3120" w:type="dxa"/>
          </w:tcPr>
          <w:p w14:paraId="6AF49A58" w14:textId="0CD9BC14" w:rsidR="3BA7570E" w:rsidRDefault="005717B8" w:rsidP="3BA7570E">
            <w:pPr>
              <w:jc w:val="center"/>
            </w:pPr>
            <w:r>
              <w:rPr>
                <w:rFonts w:ascii="Calibri" w:eastAsia="Calibri" w:hAnsi="Calibri" w:cs="Calibri"/>
              </w:rPr>
              <w:t>540</w:t>
            </w:r>
          </w:p>
        </w:tc>
        <w:tc>
          <w:tcPr>
            <w:tcW w:w="3120" w:type="dxa"/>
          </w:tcPr>
          <w:p w14:paraId="015F05E9" w14:textId="1810F89A" w:rsidR="3BA7570E" w:rsidRDefault="00100EBC" w:rsidP="3BA7570E">
            <w:pPr>
              <w:jc w:val="center"/>
            </w:pPr>
            <w:r>
              <w:rPr>
                <w:rFonts w:ascii="Calibri" w:eastAsia="Calibri" w:hAnsi="Calibri" w:cs="Calibri"/>
              </w:rPr>
              <w:t>55</w:t>
            </w:r>
            <w:r w:rsidR="3BA7570E" w:rsidRPr="3BA7570E">
              <w:rPr>
                <w:rFonts w:ascii="Calibri" w:eastAsia="Calibri" w:hAnsi="Calibri" w:cs="Calibri"/>
              </w:rPr>
              <w:t>%</w:t>
            </w:r>
          </w:p>
        </w:tc>
      </w:tr>
      <w:tr w:rsidR="3BA7570E" w14:paraId="7F3D390B" w14:textId="77777777" w:rsidTr="00762AB5">
        <w:tc>
          <w:tcPr>
            <w:tcW w:w="3120" w:type="dxa"/>
          </w:tcPr>
          <w:p w14:paraId="089A1EC4" w14:textId="6EDC0296" w:rsidR="3BA7570E" w:rsidRDefault="3BA7570E">
            <w:r w:rsidRPr="3BA7570E">
              <w:rPr>
                <w:rFonts w:ascii="Calibri" w:eastAsia="Calibri" w:hAnsi="Calibri" w:cs="Calibri"/>
                <w:b/>
                <w:bCs/>
                <w:i/>
                <w:iCs/>
              </w:rPr>
              <w:t xml:space="preserve"> </w:t>
            </w:r>
          </w:p>
        </w:tc>
        <w:tc>
          <w:tcPr>
            <w:tcW w:w="3120" w:type="dxa"/>
          </w:tcPr>
          <w:p w14:paraId="60495FEB" w14:textId="2209A2E4" w:rsidR="3BA7570E" w:rsidRDefault="3BA7570E" w:rsidP="3BA7570E">
            <w:pPr>
              <w:jc w:val="center"/>
            </w:pPr>
            <w:r w:rsidRPr="3BA7570E">
              <w:rPr>
                <w:rFonts w:ascii="Calibri" w:eastAsia="Calibri" w:hAnsi="Calibri" w:cs="Calibri"/>
              </w:rPr>
              <w:t xml:space="preserve"> </w:t>
            </w:r>
          </w:p>
        </w:tc>
        <w:tc>
          <w:tcPr>
            <w:tcW w:w="3120" w:type="dxa"/>
          </w:tcPr>
          <w:p w14:paraId="45C731CB" w14:textId="081317E7" w:rsidR="3BA7570E" w:rsidRDefault="3BA7570E" w:rsidP="3BA7570E">
            <w:pPr>
              <w:jc w:val="center"/>
            </w:pPr>
            <w:r w:rsidRPr="3BA7570E">
              <w:rPr>
                <w:rFonts w:ascii="Calibri" w:eastAsia="Calibri" w:hAnsi="Calibri" w:cs="Calibri"/>
              </w:rPr>
              <w:t xml:space="preserve"> </w:t>
            </w:r>
          </w:p>
        </w:tc>
      </w:tr>
      <w:tr w:rsidR="3BA7570E" w14:paraId="62C8948E" w14:textId="77777777" w:rsidTr="00762AB5">
        <w:tc>
          <w:tcPr>
            <w:tcW w:w="3120" w:type="dxa"/>
          </w:tcPr>
          <w:p w14:paraId="4E7F6440" w14:textId="04A9DC83" w:rsidR="3BA7570E" w:rsidRDefault="3BA7570E">
            <w:r w:rsidRPr="3BA7570E">
              <w:rPr>
                <w:rFonts w:ascii="Calibri" w:eastAsia="Calibri" w:hAnsi="Calibri" w:cs="Calibri"/>
                <w:b/>
                <w:bCs/>
                <w:i/>
                <w:iCs/>
              </w:rPr>
              <w:t>Self-Reported Health Status</w:t>
            </w:r>
          </w:p>
        </w:tc>
        <w:tc>
          <w:tcPr>
            <w:tcW w:w="3120" w:type="dxa"/>
          </w:tcPr>
          <w:p w14:paraId="2AC99FA6" w14:textId="569D752D" w:rsidR="3BA7570E" w:rsidRDefault="3BA7570E" w:rsidP="3BA7570E">
            <w:pPr>
              <w:jc w:val="center"/>
            </w:pPr>
            <w:r w:rsidRPr="3BA7570E">
              <w:rPr>
                <w:rFonts w:ascii="Calibri" w:eastAsia="Calibri" w:hAnsi="Calibri" w:cs="Calibri"/>
              </w:rPr>
              <w:t xml:space="preserve"> </w:t>
            </w:r>
          </w:p>
        </w:tc>
        <w:tc>
          <w:tcPr>
            <w:tcW w:w="3120" w:type="dxa"/>
          </w:tcPr>
          <w:p w14:paraId="0B237A5D" w14:textId="3FDA6A4B" w:rsidR="3BA7570E" w:rsidRDefault="3BA7570E" w:rsidP="3BA7570E">
            <w:pPr>
              <w:jc w:val="center"/>
            </w:pPr>
            <w:r w:rsidRPr="3BA7570E">
              <w:rPr>
                <w:rFonts w:ascii="Calibri" w:eastAsia="Calibri" w:hAnsi="Calibri" w:cs="Calibri"/>
              </w:rPr>
              <w:t xml:space="preserve"> </w:t>
            </w:r>
          </w:p>
        </w:tc>
      </w:tr>
      <w:tr w:rsidR="3BA7570E" w14:paraId="2BA5EB6D" w14:textId="77777777" w:rsidTr="00762AB5">
        <w:tc>
          <w:tcPr>
            <w:tcW w:w="3120" w:type="dxa"/>
          </w:tcPr>
          <w:p w14:paraId="4D77064A" w14:textId="7EF602D3" w:rsidR="3BA7570E" w:rsidRDefault="3BA7570E">
            <w:r w:rsidRPr="3BA7570E">
              <w:rPr>
                <w:rFonts w:ascii="Calibri" w:eastAsia="Calibri" w:hAnsi="Calibri" w:cs="Calibri"/>
              </w:rPr>
              <w:t>Excellent</w:t>
            </w:r>
          </w:p>
        </w:tc>
        <w:tc>
          <w:tcPr>
            <w:tcW w:w="3120" w:type="dxa"/>
          </w:tcPr>
          <w:p w14:paraId="391E4392" w14:textId="5E1DDB4C" w:rsidR="3BA7570E" w:rsidRDefault="00890F04" w:rsidP="3BA7570E">
            <w:pPr>
              <w:jc w:val="center"/>
            </w:pPr>
            <w:r>
              <w:rPr>
                <w:rFonts w:ascii="Calibri" w:eastAsia="Calibri" w:hAnsi="Calibri" w:cs="Calibri"/>
              </w:rPr>
              <w:t>1</w:t>
            </w:r>
            <w:r w:rsidR="00100EBC">
              <w:rPr>
                <w:rFonts w:ascii="Calibri" w:eastAsia="Calibri" w:hAnsi="Calibri" w:cs="Calibri"/>
              </w:rPr>
              <w:t>88</w:t>
            </w:r>
          </w:p>
        </w:tc>
        <w:tc>
          <w:tcPr>
            <w:tcW w:w="3120" w:type="dxa"/>
          </w:tcPr>
          <w:p w14:paraId="6044C8DC" w14:textId="3A72EB05" w:rsidR="3BA7570E" w:rsidRDefault="3BA7570E" w:rsidP="3BA7570E">
            <w:pPr>
              <w:jc w:val="center"/>
            </w:pPr>
            <w:r w:rsidRPr="3BA7570E">
              <w:rPr>
                <w:rFonts w:ascii="Calibri" w:eastAsia="Calibri" w:hAnsi="Calibri" w:cs="Calibri"/>
              </w:rPr>
              <w:t>1</w:t>
            </w:r>
            <w:r w:rsidR="004874BD">
              <w:rPr>
                <w:rFonts w:ascii="Calibri" w:eastAsia="Calibri" w:hAnsi="Calibri" w:cs="Calibri"/>
              </w:rPr>
              <w:t>9</w:t>
            </w:r>
            <w:r w:rsidRPr="3BA7570E">
              <w:rPr>
                <w:rFonts w:ascii="Calibri" w:eastAsia="Calibri" w:hAnsi="Calibri" w:cs="Calibri"/>
              </w:rPr>
              <w:t>%</w:t>
            </w:r>
          </w:p>
        </w:tc>
      </w:tr>
      <w:tr w:rsidR="3BA7570E" w14:paraId="22205ED7" w14:textId="77777777" w:rsidTr="00762AB5">
        <w:tc>
          <w:tcPr>
            <w:tcW w:w="3120" w:type="dxa"/>
          </w:tcPr>
          <w:p w14:paraId="41208C2D" w14:textId="035CA592" w:rsidR="3BA7570E" w:rsidRDefault="3BA7570E">
            <w:r w:rsidRPr="3BA7570E">
              <w:rPr>
                <w:rFonts w:ascii="Calibri" w:eastAsia="Calibri" w:hAnsi="Calibri" w:cs="Calibri"/>
              </w:rPr>
              <w:t>Very Good</w:t>
            </w:r>
          </w:p>
        </w:tc>
        <w:tc>
          <w:tcPr>
            <w:tcW w:w="3120" w:type="dxa"/>
          </w:tcPr>
          <w:p w14:paraId="599B1467" w14:textId="65AEF4AF" w:rsidR="3BA7570E" w:rsidRDefault="00100EBC" w:rsidP="3BA7570E">
            <w:pPr>
              <w:jc w:val="center"/>
            </w:pPr>
            <w:r>
              <w:rPr>
                <w:rFonts w:ascii="Calibri" w:eastAsia="Calibri" w:hAnsi="Calibri" w:cs="Calibri"/>
              </w:rPr>
              <w:t>331</w:t>
            </w:r>
          </w:p>
        </w:tc>
        <w:tc>
          <w:tcPr>
            <w:tcW w:w="3120" w:type="dxa"/>
          </w:tcPr>
          <w:p w14:paraId="58870F31" w14:textId="03EDBD90" w:rsidR="3BA7570E" w:rsidRDefault="00890F04" w:rsidP="3BA7570E">
            <w:pPr>
              <w:jc w:val="center"/>
            </w:pPr>
            <w:r>
              <w:rPr>
                <w:rFonts w:ascii="Calibri" w:eastAsia="Calibri" w:hAnsi="Calibri" w:cs="Calibri"/>
              </w:rPr>
              <w:t>3</w:t>
            </w:r>
            <w:r w:rsidR="004874BD">
              <w:rPr>
                <w:rFonts w:ascii="Calibri" w:eastAsia="Calibri" w:hAnsi="Calibri" w:cs="Calibri"/>
              </w:rPr>
              <w:t>4</w:t>
            </w:r>
            <w:r w:rsidR="3BA7570E" w:rsidRPr="3BA7570E">
              <w:rPr>
                <w:rFonts w:ascii="Calibri" w:eastAsia="Calibri" w:hAnsi="Calibri" w:cs="Calibri"/>
              </w:rPr>
              <w:t>%</w:t>
            </w:r>
          </w:p>
        </w:tc>
      </w:tr>
      <w:tr w:rsidR="3BA7570E" w14:paraId="10062B33" w14:textId="77777777" w:rsidTr="00762AB5">
        <w:tc>
          <w:tcPr>
            <w:tcW w:w="3120" w:type="dxa"/>
          </w:tcPr>
          <w:p w14:paraId="47CF7DF7" w14:textId="04A866E7" w:rsidR="3BA7570E" w:rsidRDefault="3BA7570E">
            <w:r w:rsidRPr="3BA7570E">
              <w:rPr>
                <w:rFonts w:ascii="Calibri" w:eastAsia="Calibri" w:hAnsi="Calibri" w:cs="Calibri"/>
              </w:rPr>
              <w:t>Good</w:t>
            </w:r>
          </w:p>
        </w:tc>
        <w:tc>
          <w:tcPr>
            <w:tcW w:w="3120" w:type="dxa"/>
          </w:tcPr>
          <w:p w14:paraId="65773B26" w14:textId="528DE493" w:rsidR="3BA7570E" w:rsidRDefault="004874BD" w:rsidP="3BA7570E">
            <w:pPr>
              <w:jc w:val="center"/>
            </w:pPr>
            <w:r>
              <w:rPr>
                <w:rFonts w:ascii="Calibri" w:eastAsia="Calibri" w:hAnsi="Calibri" w:cs="Calibri"/>
              </w:rPr>
              <w:t>305</w:t>
            </w:r>
          </w:p>
        </w:tc>
        <w:tc>
          <w:tcPr>
            <w:tcW w:w="3120" w:type="dxa"/>
          </w:tcPr>
          <w:p w14:paraId="057B342F" w14:textId="2886BC23" w:rsidR="3BA7570E" w:rsidRDefault="00890F04" w:rsidP="3BA7570E">
            <w:pPr>
              <w:jc w:val="center"/>
            </w:pPr>
            <w:r>
              <w:rPr>
                <w:rFonts w:ascii="Calibri" w:eastAsia="Calibri" w:hAnsi="Calibri" w:cs="Calibri"/>
              </w:rPr>
              <w:t>3</w:t>
            </w:r>
            <w:r w:rsidR="004874BD">
              <w:rPr>
                <w:rFonts w:ascii="Calibri" w:eastAsia="Calibri" w:hAnsi="Calibri" w:cs="Calibri"/>
              </w:rPr>
              <w:t>1</w:t>
            </w:r>
            <w:r w:rsidR="3BA7570E" w:rsidRPr="3BA7570E">
              <w:rPr>
                <w:rFonts w:ascii="Calibri" w:eastAsia="Calibri" w:hAnsi="Calibri" w:cs="Calibri"/>
              </w:rPr>
              <w:t>%</w:t>
            </w:r>
          </w:p>
        </w:tc>
      </w:tr>
      <w:tr w:rsidR="3BA7570E" w14:paraId="48B74AF5" w14:textId="77777777" w:rsidTr="00762AB5">
        <w:tc>
          <w:tcPr>
            <w:tcW w:w="3120" w:type="dxa"/>
          </w:tcPr>
          <w:p w14:paraId="270D8EC3" w14:textId="58112471" w:rsidR="3BA7570E" w:rsidRDefault="3BA7570E">
            <w:r w:rsidRPr="3BA7570E">
              <w:rPr>
                <w:rFonts w:ascii="Calibri" w:eastAsia="Calibri" w:hAnsi="Calibri" w:cs="Calibri"/>
              </w:rPr>
              <w:t>Fair</w:t>
            </w:r>
          </w:p>
        </w:tc>
        <w:tc>
          <w:tcPr>
            <w:tcW w:w="3120" w:type="dxa"/>
          </w:tcPr>
          <w:p w14:paraId="2ED986CA" w14:textId="53EC514C" w:rsidR="3BA7570E" w:rsidRDefault="004874BD" w:rsidP="3BA7570E">
            <w:pPr>
              <w:jc w:val="center"/>
            </w:pPr>
            <w:r>
              <w:rPr>
                <w:rFonts w:ascii="Calibri" w:eastAsia="Calibri" w:hAnsi="Calibri" w:cs="Calibri"/>
              </w:rPr>
              <w:t>121</w:t>
            </w:r>
          </w:p>
        </w:tc>
        <w:tc>
          <w:tcPr>
            <w:tcW w:w="3120" w:type="dxa"/>
          </w:tcPr>
          <w:p w14:paraId="723461C4" w14:textId="2BF7AE7F" w:rsidR="3BA7570E" w:rsidRDefault="00890F04" w:rsidP="3BA7570E">
            <w:pPr>
              <w:jc w:val="center"/>
            </w:pPr>
            <w:r>
              <w:rPr>
                <w:rFonts w:ascii="Calibri" w:eastAsia="Calibri" w:hAnsi="Calibri" w:cs="Calibri"/>
              </w:rPr>
              <w:t>1</w:t>
            </w:r>
            <w:r w:rsidR="004874BD">
              <w:rPr>
                <w:rFonts w:ascii="Calibri" w:eastAsia="Calibri" w:hAnsi="Calibri" w:cs="Calibri"/>
              </w:rPr>
              <w:t>2</w:t>
            </w:r>
            <w:r w:rsidR="3BA7570E" w:rsidRPr="3BA7570E">
              <w:rPr>
                <w:rFonts w:ascii="Calibri" w:eastAsia="Calibri" w:hAnsi="Calibri" w:cs="Calibri"/>
              </w:rPr>
              <w:t>%</w:t>
            </w:r>
          </w:p>
        </w:tc>
      </w:tr>
      <w:tr w:rsidR="3BA7570E" w14:paraId="060B1BBE" w14:textId="77777777" w:rsidTr="00762AB5">
        <w:tc>
          <w:tcPr>
            <w:tcW w:w="3120" w:type="dxa"/>
          </w:tcPr>
          <w:p w14:paraId="52115DC8" w14:textId="33C0F144" w:rsidR="3BA7570E" w:rsidRDefault="3BA7570E">
            <w:r w:rsidRPr="3BA7570E">
              <w:rPr>
                <w:rFonts w:ascii="Calibri" w:eastAsia="Calibri" w:hAnsi="Calibri" w:cs="Calibri"/>
              </w:rPr>
              <w:t>Poor</w:t>
            </w:r>
          </w:p>
        </w:tc>
        <w:tc>
          <w:tcPr>
            <w:tcW w:w="3120" w:type="dxa"/>
          </w:tcPr>
          <w:p w14:paraId="58B93688" w14:textId="714A03C7" w:rsidR="3BA7570E" w:rsidRDefault="00890F04" w:rsidP="3BA7570E">
            <w:pPr>
              <w:jc w:val="center"/>
            </w:pPr>
            <w:r>
              <w:rPr>
                <w:rFonts w:ascii="Calibri" w:eastAsia="Calibri" w:hAnsi="Calibri" w:cs="Calibri"/>
              </w:rPr>
              <w:t>36</w:t>
            </w:r>
          </w:p>
        </w:tc>
        <w:tc>
          <w:tcPr>
            <w:tcW w:w="3120" w:type="dxa"/>
          </w:tcPr>
          <w:p w14:paraId="07E6E380" w14:textId="5B82361E" w:rsidR="3BA7570E" w:rsidRDefault="00890F04" w:rsidP="3BA7570E">
            <w:pPr>
              <w:jc w:val="center"/>
            </w:pPr>
            <w:r>
              <w:rPr>
                <w:rFonts w:ascii="Calibri" w:eastAsia="Calibri" w:hAnsi="Calibri" w:cs="Calibri"/>
              </w:rPr>
              <w:t>4</w:t>
            </w:r>
            <w:r w:rsidR="3BA7570E" w:rsidRPr="3BA7570E">
              <w:rPr>
                <w:rFonts w:ascii="Calibri" w:eastAsia="Calibri" w:hAnsi="Calibri" w:cs="Calibri"/>
              </w:rPr>
              <w:t>%</w:t>
            </w:r>
          </w:p>
        </w:tc>
      </w:tr>
      <w:tr w:rsidR="3BA7570E" w14:paraId="185020AE" w14:textId="77777777" w:rsidTr="00762AB5">
        <w:tc>
          <w:tcPr>
            <w:tcW w:w="3120" w:type="dxa"/>
          </w:tcPr>
          <w:p w14:paraId="7F65D0BF" w14:textId="5474A18D" w:rsidR="3BA7570E" w:rsidRDefault="3BA7570E">
            <w:r w:rsidRPr="3BA7570E">
              <w:rPr>
                <w:rFonts w:ascii="Calibri" w:eastAsia="Calibri" w:hAnsi="Calibri" w:cs="Calibri"/>
                <w:b/>
                <w:bCs/>
                <w:i/>
                <w:iCs/>
              </w:rPr>
              <w:t xml:space="preserve"> </w:t>
            </w:r>
          </w:p>
        </w:tc>
        <w:tc>
          <w:tcPr>
            <w:tcW w:w="3120" w:type="dxa"/>
          </w:tcPr>
          <w:p w14:paraId="6BDB57D1" w14:textId="3B3E78F2" w:rsidR="3BA7570E" w:rsidRDefault="3BA7570E" w:rsidP="3BA7570E">
            <w:pPr>
              <w:jc w:val="center"/>
            </w:pPr>
            <w:r w:rsidRPr="3BA7570E">
              <w:rPr>
                <w:rFonts w:ascii="Calibri" w:eastAsia="Calibri" w:hAnsi="Calibri" w:cs="Calibri"/>
              </w:rPr>
              <w:t xml:space="preserve"> </w:t>
            </w:r>
          </w:p>
        </w:tc>
        <w:tc>
          <w:tcPr>
            <w:tcW w:w="3120" w:type="dxa"/>
          </w:tcPr>
          <w:p w14:paraId="7C82C25D" w14:textId="3826EA46" w:rsidR="3BA7570E" w:rsidRDefault="3BA7570E" w:rsidP="3BA7570E">
            <w:pPr>
              <w:jc w:val="center"/>
            </w:pPr>
            <w:r w:rsidRPr="3BA7570E">
              <w:rPr>
                <w:rFonts w:ascii="Calibri" w:eastAsia="Calibri" w:hAnsi="Calibri" w:cs="Calibri"/>
              </w:rPr>
              <w:t xml:space="preserve"> </w:t>
            </w:r>
          </w:p>
        </w:tc>
      </w:tr>
      <w:tr w:rsidR="3BA7570E" w14:paraId="28A39E6E" w14:textId="77777777" w:rsidTr="00762AB5">
        <w:tc>
          <w:tcPr>
            <w:tcW w:w="3120" w:type="dxa"/>
          </w:tcPr>
          <w:p w14:paraId="2FB4DC57" w14:textId="7F932839" w:rsidR="3BA7570E" w:rsidRDefault="3BA7570E">
            <w:r w:rsidRPr="3BA7570E">
              <w:rPr>
                <w:rFonts w:ascii="Calibri" w:eastAsia="Calibri" w:hAnsi="Calibri" w:cs="Calibri"/>
                <w:b/>
                <w:bCs/>
                <w:i/>
                <w:iCs/>
              </w:rPr>
              <w:t>Age</w:t>
            </w:r>
          </w:p>
        </w:tc>
        <w:tc>
          <w:tcPr>
            <w:tcW w:w="3120" w:type="dxa"/>
          </w:tcPr>
          <w:p w14:paraId="3A7C2CD9" w14:textId="156E553C" w:rsidR="3BA7570E" w:rsidRDefault="3BA7570E" w:rsidP="3BA7570E">
            <w:pPr>
              <w:jc w:val="center"/>
            </w:pPr>
            <w:r w:rsidRPr="3BA7570E">
              <w:rPr>
                <w:rFonts w:ascii="Calibri" w:eastAsia="Calibri" w:hAnsi="Calibri" w:cs="Calibri"/>
              </w:rPr>
              <w:t xml:space="preserve"> </w:t>
            </w:r>
          </w:p>
        </w:tc>
        <w:tc>
          <w:tcPr>
            <w:tcW w:w="3120" w:type="dxa"/>
          </w:tcPr>
          <w:p w14:paraId="7CD71998" w14:textId="746B1A4D" w:rsidR="3BA7570E" w:rsidRDefault="3BA7570E" w:rsidP="3BA7570E">
            <w:pPr>
              <w:jc w:val="center"/>
            </w:pPr>
            <w:r w:rsidRPr="3BA7570E">
              <w:rPr>
                <w:rFonts w:ascii="Calibri" w:eastAsia="Calibri" w:hAnsi="Calibri" w:cs="Calibri"/>
              </w:rPr>
              <w:t xml:space="preserve"> </w:t>
            </w:r>
          </w:p>
        </w:tc>
      </w:tr>
      <w:tr w:rsidR="3BA7570E" w14:paraId="03FF0567" w14:textId="77777777" w:rsidTr="00762AB5">
        <w:tc>
          <w:tcPr>
            <w:tcW w:w="3120" w:type="dxa"/>
          </w:tcPr>
          <w:p w14:paraId="1B2E4B06" w14:textId="34199A42" w:rsidR="3BA7570E" w:rsidRDefault="3BA7570E">
            <w:r w:rsidRPr="3BA7570E">
              <w:rPr>
                <w:rFonts w:ascii="Calibri" w:eastAsia="Calibri" w:hAnsi="Calibri" w:cs="Calibri"/>
              </w:rPr>
              <w:t xml:space="preserve">  18-24</w:t>
            </w:r>
          </w:p>
        </w:tc>
        <w:tc>
          <w:tcPr>
            <w:tcW w:w="3120" w:type="dxa"/>
          </w:tcPr>
          <w:p w14:paraId="6C3A0DD9" w14:textId="57EE0877" w:rsidR="3BA7570E" w:rsidRDefault="00BB0BA5" w:rsidP="3BA7570E">
            <w:pPr>
              <w:jc w:val="center"/>
            </w:pPr>
            <w:r>
              <w:rPr>
                <w:rFonts w:ascii="Calibri" w:eastAsia="Calibri" w:hAnsi="Calibri" w:cs="Calibri"/>
              </w:rPr>
              <w:t>293</w:t>
            </w:r>
          </w:p>
        </w:tc>
        <w:tc>
          <w:tcPr>
            <w:tcW w:w="3120" w:type="dxa"/>
          </w:tcPr>
          <w:p w14:paraId="578D3833" w14:textId="61C79E43" w:rsidR="3BA7570E" w:rsidRDefault="00D0143E" w:rsidP="357D26C1">
            <w:pPr>
              <w:jc w:val="center"/>
            </w:pPr>
            <w:r>
              <w:rPr>
                <w:rFonts w:ascii="Calibri" w:eastAsia="Calibri" w:hAnsi="Calibri" w:cs="Calibri"/>
              </w:rPr>
              <w:t>30</w:t>
            </w:r>
            <w:r w:rsidR="54A9E336" w:rsidRPr="357D26C1">
              <w:rPr>
                <w:rFonts w:ascii="Calibri" w:eastAsia="Calibri" w:hAnsi="Calibri" w:cs="Calibri"/>
              </w:rPr>
              <w:t>%</w:t>
            </w:r>
          </w:p>
        </w:tc>
      </w:tr>
      <w:tr w:rsidR="3BA7570E" w14:paraId="44096EDF" w14:textId="77777777" w:rsidTr="00762AB5">
        <w:tc>
          <w:tcPr>
            <w:tcW w:w="3120" w:type="dxa"/>
          </w:tcPr>
          <w:p w14:paraId="4157C976" w14:textId="5D6BC987" w:rsidR="3BA7570E" w:rsidRDefault="3BA7570E">
            <w:r w:rsidRPr="3BA7570E">
              <w:rPr>
                <w:rFonts w:ascii="Calibri" w:eastAsia="Calibri" w:hAnsi="Calibri" w:cs="Calibri"/>
              </w:rPr>
              <w:t xml:space="preserve">  25-34</w:t>
            </w:r>
          </w:p>
        </w:tc>
        <w:tc>
          <w:tcPr>
            <w:tcW w:w="3120" w:type="dxa"/>
          </w:tcPr>
          <w:p w14:paraId="0DC589CB" w14:textId="420F52CC" w:rsidR="3BA7570E" w:rsidRDefault="00BB0BA5" w:rsidP="3BA7570E">
            <w:pPr>
              <w:jc w:val="center"/>
            </w:pPr>
            <w:r>
              <w:rPr>
                <w:rFonts w:ascii="Calibri" w:eastAsia="Calibri" w:hAnsi="Calibri" w:cs="Calibri"/>
              </w:rPr>
              <w:t>157</w:t>
            </w:r>
          </w:p>
        </w:tc>
        <w:tc>
          <w:tcPr>
            <w:tcW w:w="3120" w:type="dxa"/>
          </w:tcPr>
          <w:p w14:paraId="3FA295D2" w14:textId="11A371BE" w:rsidR="3BA7570E" w:rsidRDefault="00890F04" w:rsidP="3BA7570E">
            <w:pPr>
              <w:jc w:val="center"/>
            </w:pPr>
            <w:r>
              <w:rPr>
                <w:rFonts w:ascii="Calibri" w:eastAsia="Calibri" w:hAnsi="Calibri" w:cs="Calibri"/>
              </w:rPr>
              <w:t>16</w:t>
            </w:r>
            <w:r w:rsidR="3BA7570E" w:rsidRPr="3BA7570E">
              <w:rPr>
                <w:rFonts w:ascii="Calibri" w:eastAsia="Calibri" w:hAnsi="Calibri" w:cs="Calibri"/>
              </w:rPr>
              <w:t>%</w:t>
            </w:r>
          </w:p>
        </w:tc>
      </w:tr>
      <w:tr w:rsidR="3BA7570E" w14:paraId="06D01283" w14:textId="77777777" w:rsidTr="00762AB5">
        <w:tc>
          <w:tcPr>
            <w:tcW w:w="3120" w:type="dxa"/>
          </w:tcPr>
          <w:p w14:paraId="5FB3F5FC" w14:textId="00BDAB76" w:rsidR="3BA7570E" w:rsidRDefault="3BA7570E">
            <w:r w:rsidRPr="3BA7570E">
              <w:rPr>
                <w:rFonts w:ascii="Calibri" w:eastAsia="Calibri" w:hAnsi="Calibri" w:cs="Calibri"/>
              </w:rPr>
              <w:t xml:space="preserve">  35-44</w:t>
            </w:r>
          </w:p>
        </w:tc>
        <w:tc>
          <w:tcPr>
            <w:tcW w:w="3120" w:type="dxa"/>
          </w:tcPr>
          <w:p w14:paraId="20D943B2" w14:textId="60E82982" w:rsidR="3BA7570E" w:rsidRDefault="00BB0BA5" w:rsidP="3BA7570E">
            <w:pPr>
              <w:jc w:val="center"/>
            </w:pPr>
            <w:r>
              <w:rPr>
                <w:rFonts w:ascii="Calibri" w:eastAsia="Calibri" w:hAnsi="Calibri" w:cs="Calibri"/>
              </w:rPr>
              <w:t>102</w:t>
            </w:r>
          </w:p>
        </w:tc>
        <w:tc>
          <w:tcPr>
            <w:tcW w:w="3120" w:type="dxa"/>
          </w:tcPr>
          <w:p w14:paraId="741154DB" w14:textId="458D526B" w:rsidR="3BA7570E" w:rsidRDefault="00890F04" w:rsidP="3BA7570E">
            <w:pPr>
              <w:jc w:val="center"/>
            </w:pPr>
            <w:r>
              <w:rPr>
                <w:rFonts w:ascii="Calibri" w:eastAsia="Calibri" w:hAnsi="Calibri" w:cs="Calibri"/>
              </w:rPr>
              <w:t>1</w:t>
            </w:r>
            <w:r w:rsidR="00D0143E">
              <w:rPr>
                <w:rFonts w:ascii="Calibri" w:eastAsia="Calibri" w:hAnsi="Calibri" w:cs="Calibri"/>
              </w:rPr>
              <w:t>1</w:t>
            </w:r>
            <w:r w:rsidR="3BA7570E" w:rsidRPr="3BA7570E">
              <w:rPr>
                <w:rFonts w:ascii="Calibri" w:eastAsia="Calibri" w:hAnsi="Calibri" w:cs="Calibri"/>
              </w:rPr>
              <w:t>%</w:t>
            </w:r>
          </w:p>
        </w:tc>
      </w:tr>
      <w:tr w:rsidR="3BA7570E" w14:paraId="182FC9B6" w14:textId="77777777" w:rsidTr="00762AB5">
        <w:tc>
          <w:tcPr>
            <w:tcW w:w="3120" w:type="dxa"/>
          </w:tcPr>
          <w:p w14:paraId="3B3C3B09" w14:textId="6EDD0312" w:rsidR="3BA7570E" w:rsidRDefault="3BA7570E">
            <w:r w:rsidRPr="3BA7570E">
              <w:rPr>
                <w:rFonts w:ascii="Calibri" w:eastAsia="Calibri" w:hAnsi="Calibri" w:cs="Calibri"/>
              </w:rPr>
              <w:t xml:space="preserve">  45-54</w:t>
            </w:r>
          </w:p>
        </w:tc>
        <w:tc>
          <w:tcPr>
            <w:tcW w:w="3120" w:type="dxa"/>
          </w:tcPr>
          <w:p w14:paraId="566C831E" w14:textId="599FA5D1" w:rsidR="3BA7570E" w:rsidRDefault="0007689E" w:rsidP="3BA7570E">
            <w:pPr>
              <w:jc w:val="center"/>
            </w:pPr>
            <w:r>
              <w:rPr>
                <w:rFonts w:ascii="Calibri" w:eastAsia="Calibri" w:hAnsi="Calibri" w:cs="Calibri"/>
              </w:rPr>
              <w:t>80</w:t>
            </w:r>
          </w:p>
        </w:tc>
        <w:tc>
          <w:tcPr>
            <w:tcW w:w="3120" w:type="dxa"/>
          </w:tcPr>
          <w:p w14:paraId="02804116" w14:textId="5CA91FB0" w:rsidR="3BA7570E" w:rsidRDefault="00D0143E" w:rsidP="3BA7570E">
            <w:pPr>
              <w:jc w:val="center"/>
            </w:pPr>
            <w:r>
              <w:rPr>
                <w:rFonts w:ascii="Calibri" w:eastAsia="Calibri" w:hAnsi="Calibri" w:cs="Calibri"/>
              </w:rPr>
              <w:t>8</w:t>
            </w:r>
            <w:r w:rsidR="3BA7570E" w:rsidRPr="3BA7570E">
              <w:rPr>
                <w:rFonts w:ascii="Calibri" w:eastAsia="Calibri" w:hAnsi="Calibri" w:cs="Calibri"/>
              </w:rPr>
              <w:t>%</w:t>
            </w:r>
          </w:p>
        </w:tc>
      </w:tr>
      <w:tr w:rsidR="3BA7570E" w14:paraId="40EC50BC" w14:textId="77777777" w:rsidTr="00762AB5">
        <w:tc>
          <w:tcPr>
            <w:tcW w:w="3120" w:type="dxa"/>
          </w:tcPr>
          <w:p w14:paraId="32B47F20" w14:textId="3768F28D" w:rsidR="3BA7570E" w:rsidRDefault="3BA7570E">
            <w:r w:rsidRPr="3BA7570E">
              <w:rPr>
                <w:rFonts w:ascii="Calibri" w:eastAsia="Calibri" w:hAnsi="Calibri" w:cs="Calibri"/>
              </w:rPr>
              <w:t xml:space="preserve">  55-64</w:t>
            </w:r>
          </w:p>
        </w:tc>
        <w:tc>
          <w:tcPr>
            <w:tcW w:w="3120" w:type="dxa"/>
          </w:tcPr>
          <w:p w14:paraId="1B39A1CB" w14:textId="5F3177D4" w:rsidR="3BA7570E" w:rsidRDefault="0007689E" w:rsidP="3BA7570E">
            <w:pPr>
              <w:jc w:val="center"/>
            </w:pPr>
            <w:r>
              <w:rPr>
                <w:rFonts w:ascii="Calibri" w:eastAsia="Calibri" w:hAnsi="Calibri" w:cs="Calibri"/>
              </w:rPr>
              <w:t>144</w:t>
            </w:r>
          </w:p>
        </w:tc>
        <w:tc>
          <w:tcPr>
            <w:tcW w:w="3120" w:type="dxa"/>
          </w:tcPr>
          <w:p w14:paraId="4A126FCC" w14:textId="07CEF881" w:rsidR="3BA7570E" w:rsidRPr="00035360" w:rsidRDefault="00890F04" w:rsidP="357D26C1">
            <w:pPr>
              <w:jc w:val="center"/>
            </w:pPr>
            <w:r w:rsidRPr="357D26C1">
              <w:rPr>
                <w:rFonts w:ascii="Calibri" w:eastAsia="Calibri" w:hAnsi="Calibri" w:cs="Calibri"/>
              </w:rPr>
              <w:t>1</w:t>
            </w:r>
            <w:r w:rsidR="00D0143E">
              <w:rPr>
                <w:rFonts w:ascii="Calibri" w:eastAsia="Calibri" w:hAnsi="Calibri" w:cs="Calibri"/>
              </w:rPr>
              <w:t>5</w:t>
            </w:r>
            <w:r w:rsidR="54A9E336" w:rsidRPr="357D26C1">
              <w:rPr>
                <w:rFonts w:ascii="Calibri" w:eastAsia="Calibri" w:hAnsi="Calibri" w:cs="Calibri"/>
              </w:rPr>
              <w:t>%</w:t>
            </w:r>
          </w:p>
        </w:tc>
      </w:tr>
      <w:tr w:rsidR="3BA7570E" w14:paraId="515ED113" w14:textId="77777777" w:rsidTr="00762AB5">
        <w:tc>
          <w:tcPr>
            <w:tcW w:w="3120" w:type="dxa"/>
          </w:tcPr>
          <w:p w14:paraId="6DAE942E" w14:textId="7576974F" w:rsidR="3BA7570E" w:rsidRDefault="3BA7570E">
            <w:r w:rsidRPr="3BA7570E">
              <w:rPr>
                <w:rFonts w:ascii="Calibri" w:eastAsia="Calibri" w:hAnsi="Calibri" w:cs="Calibri"/>
              </w:rPr>
              <w:t xml:space="preserve">  65+</w:t>
            </w:r>
          </w:p>
        </w:tc>
        <w:tc>
          <w:tcPr>
            <w:tcW w:w="3120" w:type="dxa"/>
          </w:tcPr>
          <w:p w14:paraId="5089E94F" w14:textId="2A202356" w:rsidR="3BA7570E" w:rsidRDefault="0007689E" w:rsidP="3BA7570E">
            <w:pPr>
              <w:jc w:val="center"/>
            </w:pPr>
            <w:r>
              <w:rPr>
                <w:rFonts w:ascii="Calibri" w:eastAsia="Calibri" w:hAnsi="Calibri" w:cs="Calibri"/>
              </w:rPr>
              <w:t>186</w:t>
            </w:r>
          </w:p>
        </w:tc>
        <w:tc>
          <w:tcPr>
            <w:tcW w:w="3120" w:type="dxa"/>
          </w:tcPr>
          <w:p w14:paraId="3EBA995B" w14:textId="2DF8761B" w:rsidR="3BA7570E" w:rsidRPr="00035360" w:rsidRDefault="00890F04" w:rsidP="357D26C1">
            <w:pPr>
              <w:jc w:val="center"/>
            </w:pPr>
            <w:r w:rsidRPr="357D26C1">
              <w:rPr>
                <w:rFonts w:ascii="Calibri" w:eastAsia="Calibri" w:hAnsi="Calibri" w:cs="Calibri"/>
              </w:rPr>
              <w:t>1</w:t>
            </w:r>
            <w:r w:rsidR="00D0143E">
              <w:rPr>
                <w:rFonts w:ascii="Calibri" w:eastAsia="Calibri" w:hAnsi="Calibri" w:cs="Calibri"/>
              </w:rPr>
              <w:t>9</w:t>
            </w:r>
            <w:r w:rsidR="54A9E336" w:rsidRPr="357D26C1">
              <w:rPr>
                <w:rFonts w:ascii="Calibri" w:eastAsia="Calibri" w:hAnsi="Calibri" w:cs="Calibri"/>
              </w:rPr>
              <w:t>%</w:t>
            </w:r>
          </w:p>
        </w:tc>
      </w:tr>
      <w:tr w:rsidR="3BA7570E" w14:paraId="3CE5CB5B" w14:textId="77777777" w:rsidTr="00762AB5">
        <w:tc>
          <w:tcPr>
            <w:tcW w:w="3120" w:type="dxa"/>
          </w:tcPr>
          <w:p w14:paraId="425A2F43" w14:textId="2E87C061" w:rsidR="3BA7570E" w:rsidRDefault="3BA7570E">
            <w:r w:rsidRPr="3BA7570E">
              <w:rPr>
                <w:rFonts w:ascii="Calibri" w:eastAsia="Calibri" w:hAnsi="Calibri" w:cs="Calibri"/>
                <w:b/>
                <w:bCs/>
                <w:i/>
                <w:iCs/>
              </w:rPr>
              <w:t xml:space="preserve"> </w:t>
            </w:r>
          </w:p>
        </w:tc>
        <w:tc>
          <w:tcPr>
            <w:tcW w:w="3120" w:type="dxa"/>
          </w:tcPr>
          <w:p w14:paraId="409DBF1C" w14:textId="4E1218A8" w:rsidR="3BA7570E" w:rsidRDefault="3BA7570E" w:rsidP="3BA7570E">
            <w:pPr>
              <w:jc w:val="center"/>
            </w:pPr>
            <w:r w:rsidRPr="3BA7570E">
              <w:rPr>
                <w:rFonts w:ascii="Calibri" w:eastAsia="Calibri" w:hAnsi="Calibri" w:cs="Calibri"/>
              </w:rPr>
              <w:t xml:space="preserve"> </w:t>
            </w:r>
          </w:p>
        </w:tc>
        <w:tc>
          <w:tcPr>
            <w:tcW w:w="3120" w:type="dxa"/>
          </w:tcPr>
          <w:p w14:paraId="063FF6DB" w14:textId="3CB8AC87" w:rsidR="3BA7570E" w:rsidRDefault="3BA7570E" w:rsidP="3BA7570E">
            <w:pPr>
              <w:jc w:val="center"/>
            </w:pPr>
            <w:r w:rsidRPr="3BA7570E">
              <w:rPr>
                <w:rFonts w:ascii="Calibri" w:eastAsia="Calibri" w:hAnsi="Calibri" w:cs="Calibri"/>
              </w:rPr>
              <w:t xml:space="preserve"> </w:t>
            </w:r>
          </w:p>
        </w:tc>
      </w:tr>
      <w:tr w:rsidR="3BA7570E" w14:paraId="5B3A956D" w14:textId="77777777" w:rsidTr="00762AB5">
        <w:tc>
          <w:tcPr>
            <w:tcW w:w="3120" w:type="dxa"/>
          </w:tcPr>
          <w:p w14:paraId="2F018C59" w14:textId="2744D4D5" w:rsidR="3BA7570E" w:rsidRDefault="3BA7570E">
            <w:r w:rsidRPr="3BA7570E">
              <w:rPr>
                <w:rFonts w:ascii="Calibri" w:eastAsia="Calibri" w:hAnsi="Calibri" w:cs="Calibri"/>
                <w:b/>
                <w:bCs/>
                <w:i/>
                <w:iCs/>
              </w:rPr>
              <w:t>Household Income</w:t>
            </w:r>
          </w:p>
        </w:tc>
        <w:tc>
          <w:tcPr>
            <w:tcW w:w="3120" w:type="dxa"/>
          </w:tcPr>
          <w:p w14:paraId="28AA8062" w14:textId="5B0F83FD" w:rsidR="3BA7570E" w:rsidRDefault="3BA7570E" w:rsidP="3BA7570E">
            <w:pPr>
              <w:jc w:val="center"/>
            </w:pPr>
            <w:r w:rsidRPr="3BA7570E">
              <w:rPr>
                <w:rFonts w:ascii="Calibri" w:eastAsia="Calibri" w:hAnsi="Calibri" w:cs="Calibri"/>
              </w:rPr>
              <w:t xml:space="preserve"> </w:t>
            </w:r>
          </w:p>
        </w:tc>
        <w:tc>
          <w:tcPr>
            <w:tcW w:w="3120" w:type="dxa"/>
          </w:tcPr>
          <w:p w14:paraId="21254FF8" w14:textId="6067ADD1" w:rsidR="3BA7570E" w:rsidRDefault="3BA7570E" w:rsidP="3BA7570E">
            <w:pPr>
              <w:jc w:val="center"/>
            </w:pPr>
            <w:r w:rsidRPr="3BA7570E">
              <w:rPr>
                <w:rFonts w:ascii="Calibri" w:eastAsia="Calibri" w:hAnsi="Calibri" w:cs="Calibri"/>
              </w:rPr>
              <w:t xml:space="preserve"> </w:t>
            </w:r>
          </w:p>
        </w:tc>
      </w:tr>
      <w:tr w:rsidR="00762AB5" w14:paraId="6B9F1718" w14:textId="77777777" w:rsidTr="00762AB5">
        <w:tc>
          <w:tcPr>
            <w:tcW w:w="3120" w:type="dxa"/>
          </w:tcPr>
          <w:p w14:paraId="103F2A04" w14:textId="05325E54" w:rsidR="00762AB5" w:rsidRDefault="00762AB5" w:rsidP="00762AB5">
            <w:r w:rsidRPr="3BA7570E">
              <w:rPr>
                <w:rFonts w:ascii="Calibri" w:eastAsia="Calibri" w:hAnsi="Calibri" w:cs="Calibri"/>
              </w:rPr>
              <w:t>Under $20K</w:t>
            </w:r>
          </w:p>
        </w:tc>
        <w:tc>
          <w:tcPr>
            <w:tcW w:w="3120" w:type="dxa"/>
          </w:tcPr>
          <w:p w14:paraId="3BCBC348" w14:textId="2FD7B7CF" w:rsidR="00762AB5" w:rsidRDefault="00762AB5" w:rsidP="00762AB5">
            <w:pPr>
              <w:jc w:val="center"/>
            </w:pPr>
            <w:r w:rsidRPr="000C1A41">
              <w:t>143</w:t>
            </w:r>
          </w:p>
        </w:tc>
        <w:tc>
          <w:tcPr>
            <w:tcW w:w="3120" w:type="dxa"/>
          </w:tcPr>
          <w:p w14:paraId="55F2DCCB" w14:textId="01B35D6A" w:rsidR="00762AB5" w:rsidRDefault="00762AB5" w:rsidP="00762AB5">
            <w:pPr>
              <w:jc w:val="center"/>
            </w:pPr>
            <w:r>
              <w:rPr>
                <w:rFonts w:ascii="Calibri" w:eastAsia="Calibri" w:hAnsi="Calibri" w:cs="Calibri"/>
              </w:rPr>
              <w:t>15</w:t>
            </w:r>
            <w:r w:rsidRPr="3BA7570E">
              <w:rPr>
                <w:rFonts w:ascii="Calibri" w:eastAsia="Calibri" w:hAnsi="Calibri" w:cs="Calibri"/>
              </w:rPr>
              <w:t>%</w:t>
            </w:r>
          </w:p>
        </w:tc>
      </w:tr>
      <w:tr w:rsidR="00762AB5" w14:paraId="7AE43494" w14:textId="77777777" w:rsidTr="00762AB5">
        <w:tc>
          <w:tcPr>
            <w:tcW w:w="3120" w:type="dxa"/>
          </w:tcPr>
          <w:p w14:paraId="6E8041F5" w14:textId="0FBE4127" w:rsidR="00762AB5" w:rsidRDefault="00762AB5" w:rsidP="00762AB5">
            <w:r w:rsidRPr="3BA7570E">
              <w:rPr>
                <w:rFonts w:ascii="Calibri" w:eastAsia="Calibri" w:hAnsi="Calibri" w:cs="Calibri"/>
              </w:rPr>
              <w:t>$20K-$29K</w:t>
            </w:r>
          </w:p>
        </w:tc>
        <w:tc>
          <w:tcPr>
            <w:tcW w:w="3120" w:type="dxa"/>
          </w:tcPr>
          <w:p w14:paraId="610FCD5F" w14:textId="59135D7C" w:rsidR="00762AB5" w:rsidRDefault="00762AB5" w:rsidP="00762AB5">
            <w:pPr>
              <w:jc w:val="center"/>
            </w:pPr>
            <w:r w:rsidRPr="000C1A41">
              <w:t>98</w:t>
            </w:r>
          </w:p>
        </w:tc>
        <w:tc>
          <w:tcPr>
            <w:tcW w:w="3120" w:type="dxa"/>
          </w:tcPr>
          <w:p w14:paraId="73905BE0" w14:textId="40D3A4A3" w:rsidR="00762AB5" w:rsidRDefault="00762AB5" w:rsidP="00762AB5">
            <w:pPr>
              <w:jc w:val="center"/>
            </w:pPr>
            <w:r>
              <w:rPr>
                <w:rFonts w:ascii="Calibri" w:eastAsia="Calibri" w:hAnsi="Calibri" w:cs="Calibri"/>
              </w:rPr>
              <w:t>10</w:t>
            </w:r>
            <w:r w:rsidRPr="3BA7570E">
              <w:rPr>
                <w:rFonts w:ascii="Calibri" w:eastAsia="Calibri" w:hAnsi="Calibri" w:cs="Calibri"/>
              </w:rPr>
              <w:t>%</w:t>
            </w:r>
          </w:p>
        </w:tc>
      </w:tr>
      <w:tr w:rsidR="00762AB5" w14:paraId="15FD7209" w14:textId="77777777" w:rsidTr="00762AB5">
        <w:tc>
          <w:tcPr>
            <w:tcW w:w="3120" w:type="dxa"/>
          </w:tcPr>
          <w:p w14:paraId="7291652F" w14:textId="499D825F" w:rsidR="00762AB5" w:rsidRDefault="00762AB5" w:rsidP="00762AB5">
            <w:r w:rsidRPr="3BA7570E">
              <w:rPr>
                <w:rFonts w:ascii="Calibri" w:eastAsia="Calibri" w:hAnsi="Calibri" w:cs="Calibri"/>
              </w:rPr>
              <w:t>$30K - $39K</w:t>
            </w:r>
          </w:p>
        </w:tc>
        <w:tc>
          <w:tcPr>
            <w:tcW w:w="3120" w:type="dxa"/>
          </w:tcPr>
          <w:p w14:paraId="145F61B2" w14:textId="56F63DCE" w:rsidR="00762AB5" w:rsidRDefault="00762AB5" w:rsidP="00762AB5">
            <w:pPr>
              <w:jc w:val="center"/>
            </w:pPr>
            <w:r w:rsidRPr="000C1A41">
              <w:t>92</w:t>
            </w:r>
          </w:p>
        </w:tc>
        <w:tc>
          <w:tcPr>
            <w:tcW w:w="3120" w:type="dxa"/>
          </w:tcPr>
          <w:p w14:paraId="0C504E7B" w14:textId="087375DD" w:rsidR="00762AB5" w:rsidRDefault="00762AB5" w:rsidP="00762AB5">
            <w:pPr>
              <w:jc w:val="center"/>
            </w:pPr>
            <w:r>
              <w:rPr>
                <w:rFonts w:ascii="Calibri" w:eastAsia="Calibri" w:hAnsi="Calibri" w:cs="Calibri"/>
              </w:rPr>
              <w:t>9</w:t>
            </w:r>
            <w:r w:rsidRPr="3BA7570E">
              <w:rPr>
                <w:rFonts w:ascii="Calibri" w:eastAsia="Calibri" w:hAnsi="Calibri" w:cs="Calibri"/>
              </w:rPr>
              <w:t>%</w:t>
            </w:r>
          </w:p>
        </w:tc>
      </w:tr>
      <w:tr w:rsidR="00762AB5" w14:paraId="0B2E4DC9" w14:textId="77777777" w:rsidTr="00762AB5">
        <w:tc>
          <w:tcPr>
            <w:tcW w:w="3120" w:type="dxa"/>
          </w:tcPr>
          <w:p w14:paraId="0CA6AD0B" w14:textId="77151294" w:rsidR="00762AB5" w:rsidRDefault="00762AB5" w:rsidP="00762AB5">
            <w:r w:rsidRPr="3BA7570E">
              <w:rPr>
                <w:rFonts w:ascii="Calibri" w:eastAsia="Calibri" w:hAnsi="Calibri" w:cs="Calibri"/>
              </w:rPr>
              <w:t>$40K - $49K</w:t>
            </w:r>
          </w:p>
        </w:tc>
        <w:tc>
          <w:tcPr>
            <w:tcW w:w="3120" w:type="dxa"/>
          </w:tcPr>
          <w:p w14:paraId="29386876" w14:textId="3FADFDEC" w:rsidR="00762AB5" w:rsidRDefault="00762AB5" w:rsidP="00762AB5">
            <w:pPr>
              <w:jc w:val="center"/>
            </w:pPr>
            <w:r w:rsidRPr="000C1A41">
              <w:t>91</w:t>
            </w:r>
          </w:p>
        </w:tc>
        <w:tc>
          <w:tcPr>
            <w:tcW w:w="3120" w:type="dxa"/>
          </w:tcPr>
          <w:p w14:paraId="049AC47F" w14:textId="10F32AC4" w:rsidR="00762AB5" w:rsidRDefault="00762AB5" w:rsidP="00762AB5">
            <w:pPr>
              <w:jc w:val="center"/>
            </w:pPr>
            <w:r>
              <w:rPr>
                <w:rFonts w:ascii="Calibri" w:eastAsia="Calibri" w:hAnsi="Calibri" w:cs="Calibri"/>
              </w:rPr>
              <w:t>9</w:t>
            </w:r>
            <w:r w:rsidRPr="3BA7570E">
              <w:rPr>
                <w:rFonts w:ascii="Calibri" w:eastAsia="Calibri" w:hAnsi="Calibri" w:cs="Calibri"/>
              </w:rPr>
              <w:t>%</w:t>
            </w:r>
          </w:p>
        </w:tc>
      </w:tr>
      <w:tr w:rsidR="00762AB5" w14:paraId="2C6E1666" w14:textId="77777777" w:rsidTr="00762AB5">
        <w:tc>
          <w:tcPr>
            <w:tcW w:w="3120" w:type="dxa"/>
          </w:tcPr>
          <w:p w14:paraId="637193DD" w14:textId="5D86F5BE" w:rsidR="00762AB5" w:rsidRDefault="00762AB5" w:rsidP="00762AB5">
            <w:r w:rsidRPr="3BA7570E">
              <w:rPr>
                <w:rFonts w:ascii="Calibri" w:eastAsia="Calibri" w:hAnsi="Calibri" w:cs="Calibri"/>
              </w:rPr>
              <w:t>$50K - $59K</w:t>
            </w:r>
          </w:p>
        </w:tc>
        <w:tc>
          <w:tcPr>
            <w:tcW w:w="3120" w:type="dxa"/>
          </w:tcPr>
          <w:p w14:paraId="27ECA3F9" w14:textId="5BBC677C" w:rsidR="00762AB5" w:rsidRDefault="00762AB5" w:rsidP="00762AB5">
            <w:pPr>
              <w:jc w:val="center"/>
            </w:pPr>
            <w:r w:rsidRPr="000C1A41">
              <w:t>107</w:t>
            </w:r>
          </w:p>
        </w:tc>
        <w:tc>
          <w:tcPr>
            <w:tcW w:w="3120" w:type="dxa"/>
          </w:tcPr>
          <w:p w14:paraId="09393182" w14:textId="65DAE86C" w:rsidR="00762AB5" w:rsidRDefault="0032354A" w:rsidP="00762AB5">
            <w:pPr>
              <w:jc w:val="center"/>
            </w:pPr>
            <w:r>
              <w:rPr>
                <w:rFonts w:ascii="Calibri" w:eastAsia="Calibri" w:hAnsi="Calibri" w:cs="Calibri"/>
              </w:rPr>
              <w:t>11</w:t>
            </w:r>
            <w:r w:rsidR="00762AB5" w:rsidRPr="3BA7570E">
              <w:rPr>
                <w:rFonts w:ascii="Calibri" w:eastAsia="Calibri" w:hAnsi="Calibri" w:cs="Calibri"/>
              </w:rPr>
              <w:t>%</w:t>
            </w:r>
          </w:p>
        </w:tc>
      </w:tr>
      <w:tr w:rsidR="00762AB5" w14:paraId="0EC2F153" w14:textId="77777777" w:rsidTr="00762AB5">
        <w:tc>
          <w:tcPr>
            <w:tcW w:w="3120" w:type="dxa"/>
          </w:tcPr>
          <w:p w14:paraId="0CAA6F6A" w14:textId="12F7AD90" w:rsidR="00762AB5" w:rsidRDefault="00762AB5" w:rsidP="00762AB5">
            <w:r w:rsidRPr="3BA7570E">
              <w:rPr>
                <w:rFonts w:ascii="Calibri" w:eastAsia="Calibri" w:hAnsi="Calibri" w:cs="Calibri"/>
              </w:rPr>
              <w:t>$60K - $74K</w:t>
            </w:r>
          </w:p>
        </w:tc>
        <w:tc>
          <w:tcPr>
            <w:tcW w:w="3120" w:type="dxa"/>
          </w:tcPr>
          <w:p w14:paraId="14C305DD" w14:textId="1A13520D" w:rsidR="00762AB5" w:rsidRDefault="00762AB5" w:rsidP="00762AB5">
            <w:pPr>
              <w:jc w:val="center"/>
            </w:pPr>
            <w:r w:rsidRPr="000C1A41">
              <w:t>90</w:t>
            </w:r>
          </w:p>
        </w:tc>
        <w:tc>
          <w:tcPr>
            <w:tcW w:w="3120" w:type="dxa"/>
          </w:tcPr>
          <w:p w14:paraId="102B2A18" w14:textId="175715DD" w:rsidR="00762AB5" w:rsidRDefault="00762AB5" w:rsidP="00762AB5">
            <w:pPr>
              <w:jc w:val="center"/>
            </w:pPr>
            <w:r>
              <w:rPr>
                <w:rFonts w:ascii="Calibri" w:eastAsia="Calibri" w:hAnsi="Calibri" w:cs="Calibri"/>
              </w:rPr>
              <w:t>9</w:t>
            </w:r>
            <w:r w:rsidRPr="3BA7570E">
              <w:rPr>
                <w:rFonts w:ascii="Calibri" w:eastAsia="Calibri" w:hAnsi="Calibri" w:cs="Calibri"/>
              </w:rPr>
              <w:t>%</w:t>
            </w:r>
          </w:p>
        </w:tc>
      </w:tr>
      <w:tr w:rsidR="00762AB5" w14:paraId="3DE26F3F" w14:textId="77777777" w:rsidTr="00762AB5">
        <w:tc>
          <w:tcPr>
            <w:tcW w:w="3120" w:type="dxa"/>
          </w:tcPr>
          <w:p w14:paraId="2CA22CFF" w14:textId="1CC5935E" w:rsidR="00762AB5" w:rsidRDefault="00762AB5" w:rsidP="00762AB5">
            <w:r w:rsidRPr="3BA7570E">
              <w:rPr>
                <w:rFonts w:ascii="Calibri" w:eastAsia="Calibri" w:hAnsi="Calibri" w:cs="Calibri"/>
              </w:rPr>
              <w:t>$75K - $99K</w:t>
            </w:r>
          </w:p>
        </w:tc>
        <w:tc>
          <w:tcPr>
            <w:tcW w:w="3120" w:type="dxa"/>
          </w:tcPr>
          <w:p w14:paraId="0302DA76" w14:textId="723F75E4" w:rsidR="00762AB5" w:rsidRDefault="00762AB5" w:rsidP="00762AB5">
            <w:pPr>
              <w:jc w:val="center"/>
            </w:pPr>
            <w:r w:rsidRPr="000C1A41">
              <w:t>123</w:t>
            </w:r>
          </w:p>
        </w:tc>
        <w:tc>
          <w:tcPr>
            <w:tcW w:w="3120" w:type="dxa"/>
          </w:tcPr>
          <w:p w14:paraId="3E7D2916" w14:textId="079A9C60" w:rsidR="00762AB5" w:rsidRDefault="00762AB5" w:rsidP="00762AB5">
            <w:pPr>
              <w:jc w:val="center"/>
            </w:pPr>
            <w:r>
              <w:rPr>
                <w:rFonts w:ascii="Calibri" w:eastAsia="Calibri" w:hAnsi="Calibri" w:cs="Calibri"/>
              </w:rPr>
              <w:t>1</w:t>
            </w:r>
            <w:r w:rsidR="0032354A">
              <w:rPr>
                <w:rFonts w:ascii="Calibri" w:eastAsia="Calibri" w:hAnsi="Calibri" w:cs="Calibri"/>
              </w:rPr>
              <w:t>3</w:t>
            </w:r>
            <w:r w:rsidRPr="3BA7570E">
              <w:rPr>
                <w:rFonts w:ascii="Calibri" w:eastAsia="Calibri" w:hAnsi="Calibri" w:cs="Calibri"/>
              </w:rPr>
              <w:t>%</w:t>
            </w:r>
          </w:p>
        </w:tc>
      </w:tr>
      <w:tr w:rsidR="00762AB5" w14:paraId="69FF36B5" w14:textId="77777777" w:rsidTr="00762AB5">
        <w:tc>
          <w:tcPr>
            <w:tcW w:w="3120" w:type="dxa"/>
          </w:tcPr>
          <w:p w14:paraId="42F84208" w14:textId="306B857D" w:rsidR="00762AB5" w:rsidRDefault="00762AB5" w:rsidP="00762AB5">
            <w:r w:rsidRPr="3BA7570E">
              <w:rPr>
                <w:rFonts w:ascii="Calibri" w:eastAsia="Calibri" w:hAnsi="Calibri" w:cs="Calibri"/>
              </w:rPr>
              <w:t>$100K - $149K</w:t>
            </w:r>
          </w:p>
        </w:tc>
        <w:tc>
          <w:tcPr>
            <w:tcW w:w="3120" w:type="dxa"/>
          </w:tcPr>
          <w:p w14:paraId="217CB5EE" w14:textId="516DBBC2" w:rsidR="00762AB5" w:rsidRDefault="00762AB5" w:rsidP="00762AB5">
            <w:pPr>
              <w:jc w:val="center"/>
            </w:pPr>
            <w:r w:rsidRPr="000C1A41">
              <w:t>134</w:t>
            </w:r>
          </w:p>
        </w:tc>
        <w:tc>
          <w:tcPr>
            <w:tcW w:w="3120" w:type="dxa"/>
          </w:tcPr>
          <w:p w14:paraId="6F2253AF" w14:textId="79C8D3BF" w:rsidR="00762AB5" w:rsidRDefault="00762AB5" w:rsidP="00762AB5">
            <w:pPr>
              <w:jc w:val="center"/>
            </w:pPr>
            <w:r>
              <w:rPr>
                <w:rFonts w:ascii="Calibri" w:eastAsia="Calibri" w:hAnsi="Calibri" w:cs="Calibri"/>
              </w:rPr>
              <w:t>1</w:t>
            </w:r>
            <w:r w:rsidR="0032354A">
              <w:rPr>
                <w:rFonts w:ascii="Calibri" w:eastAsia="Calibri" w:hAnsi="Calibri" w:cs="Calibri"/>
              </w:rPr>
              <w:t>4</w:t>
            </w:r>
            <w:r w:rsidRPr="3BA7570E">
              <w:rPr>
                <w:rFonts w:ascii="Calibri" w:eastAsia="Calibri" w:hAnsi="Calibri" w:cs="Calibri"/>
              </w:rPr>
              <w:t>%</w:t>
            </w:r>
          </w:p>
        </w:tc>
      </w:tr>
      <w:tr w:rsidR="00762AB5" w14:paraId="01241AAB" w14:textId="77777777" w:rsidTr="00762AB5">
        <w:tc>
          <w:tcPr>
            <w:tcW w:w="3120" w:type="dxa"/>
          </w:tcPr>
          <w:p w14:paraId="30F7B3B2" w14:textId="731BCF84" w:rsidR="00762AB5" w:rsidRDefault="00762AB5" w:rsidP="00762AB5">
            <w:r w:rsidRPr="3BA7570E">
              <w:rPr>
                <w:rFonts w:ascii="Calibri" w:eastAsia="Calibri" w:hAnsi="Calibri" w:cs="Calibri"/>
              </w:rPr>
              <w:t>$150+</w:t>
            </w:r>
          </w:p>
        </w:tc>
        <w:tc>
          <w:tcPr>
            <w:tcW w:w="3120" w:type="dxa"/>
          </w:tcPr>
          <w:p w14:paraId="2A76F3A0" w14:textId="28703129" w:rsidR="00762AB5" w:rsidRDefault="00762AB5" w:rsidP="00762AB5">
            <w:pPr>
              <w:jc w:val="center"/>
            </w:pPr>
            <w:r w:rsidRPr="000C1A41">
              <w:t>103</w:t>
            </w:r>
          </w:p>
        </w:tc>
        <w:tc>
          <w:tcPr>
            <w:tcW w:w="3120" w:type="dxa"/>
          </w:tcPr>
          <w:p w14:paraId="7F470DE4" w14:textId="731AC596" w:rsidR="00762AB5" w:rsidRDefault="0032354A" w:rsidP="00762AB5">
            <w:pPr>
              <w:jc w:val="center"/>
            </w:pPr>
            <w:r>
              <w:rPr>
                <w:rFonts w:ascii="Calibri" w:eastAsia="Calibri" w:hAnsi="Calibri" w:cs="Calibri"/>
              </w:rPr>
              <w:t>10</w:t>
            </w:r>
            <w:r w:rsidR="00762AB5" w:rsidRPr="3BA7570E">
              <w:rPr>
                <w:rFonts w:ascii="Calibri" w:eastAsia="Calibri" w:hAnsi="Calibri" w:cs="Calibri"/>
              </w:rPr>
              <w:t>%</w:t>
            </w:r>
          </w:p>
        </w:tc>
      </w:tr>
      <w:tr w:rsidR="3BA7570E" w14:paraId="032CFFD8" w14:textId="77777777" w:rsidTr="00762AB5">
        <w:tc>
          <w:tcPr>
            <w:tcW w:w="3120" w:type="dxa"/>
          </w:tcPr>
          <w:p w14:paraId="4B6F070F" w14:textId="50A8A033" w:rsidR="3BA7570E" w:rsidRDefault="3BA7570E">
            <w:r w:rsidRPr="3BA7570E">
              <w:rPr>
                <w:rFonts w:ascii="Calibri" w:eastAsia="Calibri" w:hAnsi="Calibri" w:cs="Calibri"/>
                <w:b/>
                <w:bCs/>
                <w:i/>
                <w:iCs/>
              </w:rPr>
              <w:t xml:space="preserve"> </w:t>
            </w:r>
          </w:p>
        </w:tc>
        <w:tc>
          <w:tcPr>
            <w:tcW w:w="3120" w:type="dxa"/>
          </w:tcPr>
          <w:p w14:paraId="65F2CA8D" w14:textId="69D0B188" w:rsidR="3BA7570E" w:rsidRDefault="3BA7570E" w:rsidP="3BA7570E">
            <w:pPr>
              <w:jc w:val="center"/>
            </w:pPr>
            <w:r w:rsidRPr="3BA7570E">
              <w:rPr>
                <w:rFonts w:ascii="Calibri" w:eastAsia="Calibri" w:hAnsi="Calibri" w:cs="Calibri"/>
              </w:rPr>
              <w:t xml:space="preserve"> </w:t>
            </w:r>
          </w:p>
        </w:tc>
        <w:tc>
          <w:tcPr>
            <w:tcW w:w="3120" w:type="dxa"/>
          </w:tcPr>
          <w:p w14:paraId="0953FCBB" w14:textId="20D97D8A" w:rsidR="3BA7570E" w:rsidRDefault="3BA7570E" w:rsidP="3BA7570E">
            <w:pPr>
              <w:jc w:val="center"/>
            </w:pPr>
            <w:r w:rsidRPr="3BA7570E">
              <w:rPr>
                <w:rFonts w:ascii="Calibri" w:eastAsia="Calibri" w:hAnsi="Calibri" w:cs="Calibri"/>
              </w:rPr>
              <w:t xml:space="preserve"> </w:t>
            </w:r>
          </w:p>
        </w:tc>
      </w:tr>
      <w:tr w:rsidR="3BA7570E" w14:paraId="2F5F2B5B" w14:textId="77777777" w:rsidTr="00762AB5">
        <w:tc>
          <w:tcPr>
            <w:tcW w:w="3120" w:type="dxa"/>
          </w:tcPr>
          <w:p w14:paraId="72A57015" w14:textId="4236F72B" w:rsidR="3BA7570E" w:rsidRDefault="3BA7570E">
            <w:r w:rsidRPr="3BA7570E">
              <w:rPr>
                <w:rFonts w:ascii="Calibri" w:eastAsia="Calibri" w:hAnsi="Calibri" w:cs="Calibri"/>
                <w:b/>
                <w:bCs/>
                <w:i/>
                <w:iCs/>
              </w:rPr>
              <w:t>Insurance Status</w:t>
            </w:r>
          </w:p>
        </w:tc>
        <w:tc>
          <w:tcPr>
            <w:tcW w:w="3120" w:type="dxa"/>
          </w:tcPr>
          <w:p w14:paraId="790514E3" w14:textId="55CE50D2" w:rsidR="3BA7570E" w:rsidRDefault="3BA7570E" w:rsidP="3BA7570E">
            <w:pPr>
              <w:jc w:val="center"/>
            </w:pPr>
            <w:r w:rsidRPr="3BA7570E">
              <w:rPr>
                <w:rFonts w:ascii="Calibri" w:eastAsia="Calibri" w:hAnsi="Calibri" w:cs="Calibri"/>
              </w:rPr>
              <w:t xml:space="preserve"> </w:t>
            </w:r>
          </w:p>
        </w:tc>
        <w:tc>
          <w:tcPr>
            <w:tcW w:w="3120" w:type="dxa"/>
          </w:tcPr>
          <w:p w14:paraId="685EF5AD" w14:textId="1125F1F6" w:rsidR="3BA7570E" w:rsidRDefault="3BA7570E" w:rsidP="3BA7570E">
            <w:pPr>
              <w:jc w:val="center"/>
            </w:pPr>
            <w:r w:rsidRPr="3BA7570E">
              <w:rPr>
                <w:rFonts w:ascii="Calibri" w:eastAsia="Calibri" w:hAnsi="Calibri" w:cs="Calibri"/>
              </w:rPr>
              <w:t xml:space="preserve"> </w:t>
            </w:r>
          </w:p>
        </w:tc>
      </w:tr>
      <w:tr w:rsidR="00AF5DA9" w14:paraId="6B8CA090" w14:textId="77777777" w:rsidTr="00762AB5">
        <w:tc>
          <w:tcPr>
            <w:tcW w:w="3120" w:type="dxa"/>
          </w:tcPr>
          <w:p w14:paraId="6609B17B" w14:textId="09B7A42A" w:rsidR="00AF5DA9" w:rsidRDefault="00AF5DA9" w:rsidP="00AF5DA9">
            <w:r w:rsidRPr="3BA7570E">
              <w:rPr>
                <w:rFonts w:ascii="Calibri" w:eastAsia="Calibri" w:hAnsi="Calibri" w:cs="Calibri"/>
              </w:rPr>
              <w:t xml:space="preserve">  Health insurance through employer or family member’s employer</w:t>
            </w:r>
          </w:p>
        </w:tc>
        <w:tc>
          <w:tcPr>
            <w:tcW w:w="3120" w:type="dxa"/>
          </w:tcPr>
          <w:p w14:paraId="6B17F813" w14:textId="651B0792" w:rsidR="00AF5DA9" w:rsidRDefault="00AF5DA9" w:rsidP="00AF5DA9">
            <w:pPr>
              <w:jc w:val="center"/>
            </w:pPr>
            <w:r w:rsidRPr="00BA1A18">
              <w:t>306</w:t>
            </w:r>
          </w:p>
        </w:tc>
        <w:tc>
          <w:tcPr>
            <w:tcW w:w="3120" w:type="dxa"/>
          </w:tcPr>
          <w:p w14:paraId="1A4D5C9C" w14:textId="326065A5" w:rsidR="00AF5DA9" w:rsidRDefault="00AF5DA9" w:rsidP="00AF5DA9">
            <w:pPr>
              <w:jc w:val="center"/>
            </w:pPr>
            <w:r w:rsidRPr="000F7F7C">
              <w:t>31%</w:t>
            </w:r>
          </w:p>
        </w:tc>
      </w:tr>
      <w:tr w:rsidR="00AF5DA9" w14:paraId="5A4AF93D" w14:textId="77777777" w:rsidTr="00762AB5">
        <w:tc>
          <w:tcPr>
            <w:tcW w:w="3120" w:type="dxa"/>
          </w:tcPr>
          <w:p w14:paraId="0F07FEA9" w14:textId="754DCC30" w:rsidR="00AF5DA9" w:rsidRDefault="00AF5DA9" w:rsidP="00AF5DA9">
            <w:r w:rsidRPr="3BA7570E">
              <w:rPr>
                <w:rFonts w:ascii="Calibri" w:eastAsia="Calibri" w:hAnsi="Calibri" w:cs="Calibri"/>
              </w:rPr>
              <w:t xml:space="preserve">  Health insurance I buy on my own</w:t>
            </w:r>
          </w:p>
        </w:tc>
        <w:tc>
          <w:tcPr>
            <w:tcW w:w="3120" w:type="dxa"/>
          </w:tcPr>
          <w:p w14:paraId="7492E43B" w14:textId="37284AED" w:rsidR="00AF5DA9" w:rsidRDefault="00AF5DA9" w:rsidP="00AF5DA9">
            <w:pPr>
              <w:jc w:val="center"/>
            </w:pPr>
            <w:r w:rsidRPr="00BA1A18">
              <w:t>134</w:t>
            </w:r>
          </w:p>
        </w:tc>
        <w:tc>
          <w:tcPr>
            <w:tcW w:w="3120" w:type="dxa"/>
          </w:tcPr>
          <w:p w14:paraId="429040C6" w14:textId="6B0020F0" w:rsidR="00AF5DA9" w:rsidRDefault="00AF5DA9" w:rsidP="00AF5DA9">
            <w:pPr>
              <w:jc w:val="center"/>
            </w:pPr>
            <w:r w:rsidRPr="000F7F7C">
              <w:t>14%</w:t>
            </w:r>
          </w:p>
        </w:tc>
      </w:tr>
      <w:tr w:rsidR="00AF5DA9" w14:paraId="03B1D9F0" w14:textId="77777777" w:rsidTr="00762AB5">
        <w:tc>
          <w:tcPr>
            <w:tcW w:w="3120" w:type="dxa"/>
          </w:tcPr>
          <w:p w14:paraId="43079DCA" w14:textId="15D9C95C" w:rsidR="00AF5DA9" w:rsidRDefault="00AF5DA9" w:rsidP="00AF5DA9">
            <w:r w:rsidRPr="3BA7570E">
              <w:rPr>
                <w:rFonts w:ascii="Calibri" w:eastAsia="Calibri" w:hAnsi="Calibri" w:cs="Calibri"/>
              </w:rPr>
              <w:t xml:space="preserve">  Medicare, coverage for seniors and those with serious disabilities</w:t>
            </w:r>
          </w:p>
        </w:tc>
        <w:tc>
          <w:tcPr>
            <w:tcW w:w="3120" w:type="dxa"/>
          </w:tcPr>
          <w:p w14:paraId="4BC1C3C6" w14:textId="7EFC8421" w:rsidR="00AF5DA9" w:rsidRDefault="00AF5DA9" w:rsidP="00AF5DA9">
            <w:pPr>
              <w:jc w:val="center"/>
            </w:pPr>
            <w:r w:rsidRPr="00BA1A18">
              <w:t>306</w:t>
            </w:r>
          </w:p>
        </w:tc>
        <w:tc>
          <w:tcPr>
            <w:tcW w:w="3120" w:type="dxa"/>
          </w:tcPr>
          <w:p w14:paraId="30394398" w14:textId="38DDB04E" w:rsidR="00AF5DA9" w:rsidRDefault="00AF5DA9" w:rsidP="00AF5DA9">
            <w:pPr>
              <w:jc w:val="center"/>
            </w:pPr>
            <w:r w:rsidRPr="000F7F7C">
              <w:t>31%</w:t>
            </w:r>
          </w:p>
        </w:tc>
      </w:tr>
      <w:tr w:rsidR="00AF5DA9" w14:paraId="05580C85" w14:textId="77777777" w:rsidTr="00762AB5">
        <w:tc>
          <w:tcPr>
            <w:tcW w:w="3120" w:type="dxa"/>
          </w:tcPr>
          <w:p w14:paraId="63AB9B18" w14:textId="2BC18019" w:rsidR="00AF5DA9" w:rsidRDefault="00AF5DA9" w:rsidP="00AF5DA9">
            <w:r>
              <w:rPr>
                <w:rFonts w:ascii="Calibri" w:eastAsia="Calibri" w:hAnsi="Calibri" w:cs="Calibri"/>
              </w:rPr>
              <w:t xml:space="preserve">  Georgia Medicaid</w:t>
            </w:r>
            <w:r w:rsidRPr="3BA7570E">
              <w:rPr>
                <w:rFonts w:ascii="Calibri" w:eastAsia="Calibri" w:hAnsi="Calibri" w:cs="Calibri"/>
              </w:rPr>
              <w:t>, coverage for low-income people</w:t>
            </w:r>
          </w:p>
        </w:tc>
        <w:tc>
          <w:tcPr>
            <w:tcW w:w="3120" w:type="dxa"/>
          </w:tcPr>
          <w:p w14:paraId="02299D14" w14:textId="395BF7CE" w:rsidR="00AF5DA9" w:rsidRDefault="00AF5DA9" w:rsidP="00AF5DA9">
            <w:pPr>
              <w:jc w:val="center"/>
            </w:pPr>
            <w:r w:rsidRPr="00BA1A18">
              <w:t>85</w:t>
            </w:r>
          </w:p>
        </w:tc>
        <w:tc>
          <w:tcPr>
            <w:tcW w:w="3120" w:type="dxa"/>
          </w:tcPr>
          <w:p w14:paraId="424BC034" w14:textId="2C0B8680" w:rsidR="00AF5DA9" w:rsidRDefault="00AF5DA9" w:rsidP="00AF5DA9">
            <w:pPr>
              <w:jc w:val="center"/>
            </w:pPr>
            <w:r w:rsidRPr="000F7F7C">
              <w:t>9%</w:t>
            </w:r>
          </w:p>
        </w:tc>
      </w:tr>
      <w:tr w:rsidR="00AF5DA9" w14:paraId="36E6E260" w14:textId="77777777" w:rsidTr="00762AB5">
        <w:tc>
          <w:tcPr>
            <w:tcW w:w="3120" w:type="dxa"/>
          </w:tcPr>
          <w:p w14:paraId="42EC34CD" w14:textId="223167DC" w:rsidR="00AF5DA9" w:rsidRDefault="00AF5DA9" w:rsidP="00AF5DA9">
            <w:r w:rsidRPr="3BA7570E">
              <w:rPr>
                <w:rFonts w:ascii="Calibri" w:eastAsia="Calibri" w:hAnsi="Calibri" w:cs="Calibri"/>
              </w:rPr>
              <w:lastRenderedPageBreak/>
              <w:t xml:space="preserve">  TRICARE/Military Health System coverage</w:t>
            </w:r>
          </w:p>
        </w:tc>
        <w:tc>
          <w:tcPr>
            <w:tcW w:w="3120" w:type="dxa"/>
          </w:tcPr>
          <w:p w14:paraId="184E14F6" w14:textId="51339E96" w:rsidR="00AF5DA9" w:rsidRDefault="00AF5DA9" w:rsidP="00AF5DA9">
            <w:pPr>
              <w:jc w:val="center"/>
            </w:pPr>
            <w:r w:rsidRPr="00BA1A18">
              <w:t>37</w:t>
            </w:r>
          </w:p>
        </w:tc>
        <w:tc>
          <w:tcPr>
            <w:tcW w:w="3120" w:type="dxa"/>
          </w:tcPr>
          <w:p w14:paraId="1AFCF3EA" w14:textId="75C4D2D7" w:rsidR="00AF5DA9" w:rsidRDefault="00AF5DA9" w:rsidP="00AF5DA9">
            <w:pPr>
              <w:jc w:val="center"/>
            </w:pPr>
            <w:r w:rsidRPr="000F7F7C">
              <w:t>4%</w:t>
            </w:r>
          </w:p>
        </w:tc>
      </w:tr>
      <w:tr w:rsidR="00AF5DA9" w14:paraId="514E70C6" w14:textId="77777777" w:rsidTr="00762AB5">
        <w:tc>
          <w:tcPr>
            <w:tcW w:w="3120" w:type="dxa"/>
          </w:tcPr>
          <w:p w14:paraId="4F029C9A" w14:textId="497B571C" w:rsidR="00AF5DA9" w:rsidRDefault="00AF5DA9" w:rsidP="00AF5DA9">
            <w:r w:rsidRPr="3BA7570E">
              <w:rPr>
                <w:rFonts w:ascii="Calibri" w:eastAsia="Calibri" w:hAnsi="Calibri" w:cs="Calibri"/>
              </w:rPr>
              <w:t xml:space="preserve">  Department of Veterans Affairs (VA) Health Care</w:t>
            </w:r>
          </w:p>
        </w:tc>
        <w:tc>
          <w:tcPr>
            <w:tcW w:w="3120" w:type="dxa"/>
          </w:tcPr>
          <w:p w14:paraId="46EE0F52" w14:textId="1AD97306" w:rsidR="00AF5DA9" w:rsidRDefault="00AF5DA9" w:rsidP="00AF5DA9">
            <w:pPr>
              <w:jc w:val="center"/>
            </w:pPr>
            <w:r w:rsidRPr="00BA1A18">
              <w:t>14</w:t>
            </w:r>
          </w:p>
        </w:tc>
        <w:tc>
          <w:tcPr>
            <w:tcW w:w="3120" w:type="dxa"/>
          </w:tcPr>
          <w:p w14:paraId="30601A6D" w14:textId="63A7AE13" w:rsidR="00AF5DA9" w:rsidRDefault="00AF5DA9" w:rsidP="00AF5DA9">
            <w:pPr>
              <w:jc w:val="center"/>
            </w:pPr>
            <w:r w:rsidRPr="000F7F7C">
              <w:t>1%</w:t>
            </w:r>
          </w:p>
        </w:tc>
      </w:tr>
      <w:tr w:rsidR="00AF5DA9" w14:paraId="201C6590" w14:textId="77777777" w:rsidTr="00762AB5">
        <w:tc>
          <w:tcPr>
            <w:tcW w:w="3120" w:type="dxa"/>
          </w:tcPr>
          <w:p w14:paraId="22B0A855" w14:textId="64A6F4C7" w:rsidR="00AF5DA9" w:rsidRDefault="00AF5DA9" w:rsidP="00AF5DA9">
            <w:r w:rsidRPr="3BA7570E">
              <w:rPr>
                <w:rFonts w:ascii="Calibri" w:eastAsia="Calibri" w:hAnsi="Calibri" w:cs="Calibri"/>
              </w:rPr>
              <w:t xml:space="preserve">  No coverage of any type</w:t>
            </w:r>
          </w:p>
        </w:tc>
        <w:tc>
          <w:tcPr>
            <w:tcW w:w="3120" w:type="dxa"/>
          </w:tcPr>
          <w:p w14:paraId="58B0D57E" w14:textId="32CDFFAC" w:rsidR="00AF5DA9" w:rsidRDefault="00AF5DA9" w:rsidP="00AF5DA9">
            <w:pPr>
              <w:jc w:val="center"/>
            </w:pPr>
            <w:r w:rsidRPr="00BA1A18">
              <w:t>65</w:t>
            </w:r>
          </w:p>
        </w:tc>
        <w:tc>
          <w:tcPr>
            <w:tcW w:w="3120" w:type="dxa"/>
          </w:tcPr>
          <w:p w14:paraId="2467CBE7" w14:textId="6A412298" w:rsidR="00AF5DA9" w:rsidRDefault="00AF5DA9" w:rsidP="00AF5DA9">
            <w:pPr>
              <w:jc w:val="center"/>
            </w:pPr>
            <w:r w:rsidRPr="000F7F7C">
              <w:t>7%</w:t>
            </w:r>
          </w:p>
        </w:tc>
      </w:tr>
      <w:tr w:rsidR="00AF5DA9" w14:paraId="23F1B8A5" w14:textId="77777777" w:rsidTr="00762AB5">
        <w:tc>
          <w:tcPr>
            <w:tcW w:w="3120" w:type="dxa"/>
          </w:tcPr>
          <w:p w14:paraId="2D03FDF1" w14:textId="6CB11A84" w:rsidR="00AF5DA9" w:rsidRDefault="00AF5DA9" w:rsidP="00AF5DA9">
            <w:r w:rsidRPr="3BA7570E">
              <w:rPr>
                <w:rFonts w:ascii="Calibri" w:eastAsia="Calibri" w:hAnsi="Calibri" w:cs="Calibri"/>
              </w:rPr>
              <w:t xml:space="preserve">  I don’t know</w:t>
            </w:r>
          </w:p>
        </w:tc>
        <w:tc>
          <w:tcPr>
            <w:tcW w:w="3120" w:type="dxa"/>
          </w:tcPr>
          <w:p w14:paraId="7BFC5E21" w14:textId="5FD9155B" w:rsidR="00AF5DA9" w:rsidRDefault="00AF5DA9" w:rsidP="00AF5DA9">
            <w:pPr>
              <w:jc w:val="center"/>
            </w:pPr>
            <w:r w:rsidRPr="00BA1A18">
              <w:t>34</w:t>
            </w:r>
          </w:p>
        </w:tc>
        <w:tc>
          <w:tcPr>
            <w:tcW w:w="3120" w:type="dxa"/>
          </w:tcPr>
          <w:p w14:paraId="286974F8" w14:textId="261532BB" w:rsidR="00AF5DA9" w:rsidRDefault="00AF5DA9" w:rsidP="00AF5DA9">
            <w:pPr>
              <w:jc w:val="center"/>
              <w:rPr>
                <w:rFonts w:ascii="Calibri" w:eastAsia="Calibri" w:hAnsi="Calibri" w:cs="Calibri"/>
              </w:rPr>
            </w:pPr>
            <w:r w:rsidRPr="000F7F7C">
              <w:t>3%</w:t>
            </w:r>
          </w:p>
        </w:tc>
      </w:tr>
      <w:tr w:rsidR="3BA7570E" w14:paraId="3616CF6C" w14:textId="77777777" w:rsidTr="00762AB5">
        <w:tc>
          <w:tcPr>
            <w:tcW w:w="3120" w:type="dxa"/>
          </w:tcPr>
          <w:p w14:paraId="2700711B" w14:textId="54346247" w:rsidR="3BA7570E" w:rsidRDefault="3BA7570E">
            <w:r w:rsidRPr="3BA7570E">
              <w:rPr>
                <w:rFonts w:ascii="Calibri" w:eastAsia="Calibri" w:hAnsi="Calibri" w:cs="Calibri"/>
                <w:b/>
                <w:bCs/>
                <w:i/>
                <w:iCs/>
              </w:rPr>
              <w:t xml:space="preserve"> </w:t>
            </w:r>
          </w:p>
        </w:tc>
        <w:tc>
          <w:tcPr>
            <w:tcW w:w="3120" w:type="dxa"/>
          </w:tcPr>
          <w:p w14:paraId="73E8EAF4" w14:textId="253E355E" w:rsidR="3BA7570E" w:rsidRDefault="3BA7570E" w:rsidP="3BA7570E">
            <w:pPr>
              <w:jc w:val="center"/>
            </w:pPr>
            <w:r w:rsidRPr="3BA7570E">
              <w:rPr>
                <w:rFonts w:ascii="Calibri" w:eastAsia="Calibri" w:hAnsi="Calibri" w:cs="Calibri"/>
              </w:rPr>
              <w:t xml:space="preserve"> </w:t>
            </w:r>
          </w:p>
        </w:tc>
        <w:tc>
          <w:tcPr>
            <w:tcW w:w="3120" w:type="dxa"/>
          </w:tcPr>
          <w:p w14:paraId="7D0EC439" w14:textId="0FA1BEEC" w:rsidR="3BA7570E" w:rsidRDefault="3BA7570E" w:rsidP="3BA7570E">
            <w:pPr>
              <w:jc w:val="center"/>
            </w:pPr>
            <w:r w:rsidRPr="3BA7570E">
              <w:rPr>
                <w:rFonts w:ascii="Calibri" w:eastAsia="Calibri" w:hAnsi="Calibri" w:cs="Calibri"/>
              </w:rPr>
              <w:t xml:space="preserve"> </w:t>
            </w:r>
          </w:p>
        </w:tc>
      </w:tr>
      <w:tr w:rsidR="3BA7570E" w14:paraId="12D3AE0F" w14:textId="77777777" w:rsidTr="00762AB5">
        <w:tc>
          <w:tcPr>
            <w:tcW w:w="3120" w:type="dxa"/>
          </w:tcPr>
          <w:p w14:paraId="252E7DD7" w14:textId="3FB44166" w:rsidR="3BA7570E" w:rsidRDefault="3BA7570E">
            <w:r w:rsidRPr="3BA7570E">
              <w:rPr>
                <w:rFonts w:ascii="Calibri" w:eastAsia="Calibri" w:hAnsi="Calibri" w:cs="Calibri"/>
                <w:b/>
                <w:bCs/>
                <w:i/>
                <w:iCs/>
              </w:rPr>
              <w:t>Party Affiliation</w:t>
            </w:r>
          </w:p>
        </w:tc>
        <w:tc>
          <w:tcPr>
            <w:tcW w:w="3120" w:type="dxa"/>
          </w:tcPr>
          <w:p w14:paraId="0C6AFC0D" w14:textId="54CA7A38" w:rsidR="3BA7570E" w:rsidRDefault="3BA7570E" w:rsidP="3BA7570E">
            <w:pPr>
              <w:jc w:val="center"/>
            </w:pPr>
            <w:r w:rsidRPr="3BA7570E">
              <w:rPr>
                <w:rFonts w:ascii="Calibri" w:eastAsia="Calibri" w:hAnsi="Calibri" w:cs="Calibri"/>
              </w:rPr>
              <w:t xml:space="preserve"> </w:t>
            </w:r>
          </w:p>
        </w:tc>
        <w:tc>
          <w:tcPr>
            <w:tcW w:w="3120" w:type="dxa"/>
          </w:tcPr>
          <w:p w14:paraId="4C5E501C" w14:textId="3E3184A2" w:rsidR="3BA7570E" w:rsidRDefault="3BA7570E" w:rsidP="3BA7570E">
            <w:pPr>
              <w:jc w:val="center"/>
            </w:pPr>
            <w:r w:rsidRPr="3BA7570E">
              <w:rPr>
                <w:rFonts w:ascii="Calibri" w:eastAsia="Calibri" w:hAnsi="Calibri" w:cs="Calibri"/>
              </w:rPr>
              <w:t xml:space="preserve"> </w:t>
            </w:r>
          </w:p>
        </w:tc>
      </w:tr>
      <w:tr w:rsidR="003969BB" w14:paraId="772366A7" w14:textId="77777777" w:rsidTr="00762AB5">
        <w:tc>
          <w:tcPr>
            <w:tcW w:w="3120" w:type="dxa"/>
          </w:tcPr>
          <w:p w14:paraId="5988A686" w14:textId="43FDF274" w:rsidR="003969BB" w:rsidRDefault="003969BB" w:rsidP="003969BB">
            <w:r w:rsidRPr="3BA7570E">
              <w:rPr>
                <w:rFonts w:ascii="Calibri" w:eastAsia="Calibri" w:hAnsi="Calibri" w:cs="Calibri"/>
              </w:rPr>
              <w:t xml:space="preserve">  Republican</w:t>
            </w:r>
          </w:p>
        </w:tc>
        <w:tc>
          <w:tcPr>
            <w:tcW w:w="3120" w:type="dxa"/>
          </w:tcPr>
          <w:p w14:paraId="50412065" w14:textId="1647EE47" w:rsidR="003969BB" w:rsidRDefault="003969BB" w:rsidP="003969BB">
            <w:pPr>
              <w:jc w:val="center"/>
            </w:pPr>
            <w:r w:rsidRPr="00ED0919">
              <w:t>340</w:t>
            </w:r>
          </w:p>
        </w:tc>
        <w:tc>
          <w:tcPr>
            <w:tcW w:w="3120" w:type="dxa"/>
          </w:tcPr>
          <w:p w14:paraId="0AB82997" w14:textId="15639977" w:rsidR="003969BB" w:rsidRDefault="003969BB" w:rsidP="003969BB">
            <w:pPr>
              <w:jc w:val="center"/>
            </w:pPr>
            <w:r w:rsidRPr="00333F49">
              <w:t>35%</w:t>
            </w:r>
          </w:p>
        </w:tc>
      </w:tr>
      <w:tr w:rsidR="003969BB" w14:paraId="66D4E306" w14:textId="77777777" w:rsidTr="00762AB5">
        <w:tc>
          <w:tcPr>
            <w:tcW w:w="3120" w:type="dxa"/>
          </w:tcPr>
          <w:p w14:paraId="54F6E78A" w14:textId="5188B4DC" w:rsidR="003969BB" w:rsidRDefault="003969BB" w:rsidP="003969BB">
            <w:r w:rsidRPr="3BA7570E">
              <w:rPr>
                <w:rFonts w:ascii="Calibri" w:eastAsia="Calibri" w:hAnsi="Calibri" w:cs="Calibri"/>
              </w:rPr>
              <w:t xml:space="preserve">  Democrat</w:t>
            </w:r>
          </w:p>
        </w:tc>
        <w:tc>
          <w:tcPr>
            <w:tcW w:w="3120" w:type="dxa"/>
          </w:tcPr>
          <w:p w14:paraId="758640A3" w14:textId="2903220E" w:rsidR="003969BB" w:rsidRDefault="003969BB" w:rsidP="003969BB">
            <w:pPr>
              <w:jc w:val="center"/>
            </w:pPr>
            <w:r w:rsidRPr="00ED0919">
              <w:t>387</w:t>
            </w:r>
          </w:p>
        </w:tc>
        <w:tc>
          <w:tcPr>
            <w:tcW w:w="3120" w:type="dxa"/>
          </w:tcPr>
          <w:p w14:paraId="0029BF87" w14:textId="05347EA6" w:rsidR="003969BB" w:rsidRDefault="003969BB" w:rsidP="003969BB">
            <w:pPr>
              <w:jc w:val="center"/>
            </w:pPr>
            <w:r w:rsidRPr="00333F49">
              <w:t>39%</w:t>
            </w:r>
          </w:p>
        </w:tc>
      </w:tr>
      <w:tr w:rsidR="003969BB" w14:paraId="099B8D31" w14:textId="77777777" w:rsidTr="00762AB5">
        <w:tc>
          <w:tcPr>
            <w:tcW w:w="3120" w:type="dxa"/>
          </w:tcPr>
          <w:p w14:paraId="773AD71D" w14:textId="0ADB0BD2" w:rsidR="003969BB" w:rsidRDefault="003969BB" w:rsidP="003969BB">
            <w:r w:rsidRPr="3BA7570E">
              <w:rPr>
                <w:rFonts w:ascii="Calibri" w:eastAsia="Calibri" w:hAnsi="Calibri" w:cs="Calibri"/>
              </w:rPr>
              <w:t xml:space="preserve">  Neither</w:t>
            </w:r>
          </w:p>
        </w:tc>
        <w:tc>
          <w:tcPr>
            <w:tcW w:w="3120" w:type="dxa"/>
          </w:tcPr>
          <w:p w14:paraId="0F7D0D09" w14:textId="49EB63F8" w:rsidR="003969BB" w:rsidRDefault="003969BB" w:rsidP="003969BB">
            <w:pPr>
              <w:jc w:val="center"/>
            </w:pPr>
            <w:r w:rsidRPr="00ED0919">
              <w:t>254</w:t>
            </w:r>
          </w:p>
        </w:tc>
        <w:tc>
          <w:tcPr>
            <w:tcW w:w="3120" w:type="dxa"/>
          </w:tcPr>
          <w:p w14:paraId="4F28D4F2" w14:textId="1A86F40A" w:rsidR="003969BB" w:rsidRDefault="003969BB" w:rsidP="003969BB">
            <w:pPr>
              <w:jc w:val="center"/>
            </w:pPr>
            <w:r w:rsidRPr="00333F49">
              <w:t>26%</w:t>
            </w:r>
          </w:p>
        </w:tc>
      </w:tr>
      <w:tr w:rsidR="3BA7570E" w14:paraId="021735DB" w14:textId="77777777" w:rsidTr="00762AB5">
        <w:tc>
          <w:tcPr>
            <w:tcW w:w="3120" w:type="dxa"/>
          </w:tcPr>
          <w:p w14:paraId="7FECD5AD" w14:textId="0D0A7D2A" w:rsidR="3BA7570E" w:rsidRDefault="3BA7570E">
            <w:r w:rsidRPr="3BA7570E">
              <w:rPr>
                <w:rFonts w:ascii="Calibri" w:eastAsia="Calibri" w:hAnsi="Calibri" w:cs="Calibri"/>
                <w:color w:val="808080" w:themeColor="background1" w:themeShade="80"/>
                <w:sz w:val="16"/>
                <w:szCs w:val="16"/>
              </w:rPr>
              <w:t>Source: 20</w:t>
            </w:r>
            <w:r w:rsidR="00890F04">
              <w:rPr>
                <w:rFonts w:ascii="Calibri" w:eastAsia="Calibri" w:hAnsi="Calibri" w:cs="Calibri"/>
                <w:color w:val="808080" w:themeColor="background1" w:themeShade="80"/>
                <w:sz w:val="16"/>
                <w:szCs w:val="16"/>
              </w:rPr>
              <w:t xml:space="preserve">21 Poll of </w:t>
            </w:r>
            <w:r w:rsidR="00DA049B">
              <w:rPr>
                <w:rFonts w:ascii="Calibri" w:eastAsia="Calibri" w:hAnsi="Calibri" w:cs="Calibri"/>
                <w:color w:val="808080" w:themeColor="background1" w:themeShade="80"/>
                <w:sz w:val="16"/>
                <w:szCs w:val="16"/>
              </w:rPr>
              <w:t>Georgia</w:t>
            </w:r>
            <w:r w:rsidR="00DA049B" w:rsidRPr="3BA7570E">
              <w:rPr>
                <w:rFonts w:ascii="Calibri" w:eastAsia="Calibri" w:hAnsi="Calibri" w:cs="Calibri"/>
                <w:color w:val="808080" w:themeColor="background1" w:themeShade="80"/>
                <w:sz w:val="16"/>
                <w:szCs w:val="16"/>
              </w:rPr>
              <w:t xml:space="preserve"> </w:t>
            </w:r>
            <w:r w:rsidRPr="3BA7570E">
              <w:rPr>
                <w:rFonts w:ascii="Calibri" w:eastAsia="Calibri" w:hAnsi="Calibri" w:cs="Calibri"/>
                <w:color w:val="808080" w:themeColor="background1" w:themeShade="80"/>
                <w:sz w:val="16"/>
                <w:szCs w:val="16"/>
              </w:rPr>
              <w:t>Adults, Ages 18+ - Altarum Value Hub</w:t>
            </w:r>
          </w:p>
        </w:tc>
        <w:tc>
          <w:tcPr>
            <w:tcW w:w="3120" w:type="dxa"/>
          </w:tcPr>
          <w:p w14:paraId="04A9ECD7" w14:textId="4FE7F9A2" w:rsidR="3BA7570E" w:rsidRDefault="3BA7570E" w:rsidP="3BA7570E">
            <w:pPr>
              <w:jc w:val="center"/>
            </w:pPr>
            <w:r w:rsidRPr="3BA7570E">
              <w:rPr>
                <w:rFonts w:ascii="Calibri" w:eastAsia="Calibri" w:hAnsi="Calibri" w:cs="Calibri"/>
              </w:rPr>
              <w:t xml:space="preserve"> </w:t>
            </w:r>
          </w:p>
        </w:tc>
        <w:tc>
          <w:tcPr>
            <w:tcW w:w="3120" w:type="dxa"/>
          </w:tcPr>
          <w:p w14:paraId="40DF95A9" w14:textId="6529622B" w:rsidR="3BA7570E" w:rsidRDefault="3BA7570E" w:rsidP="3BA7570E">
            <w:pPr>
              <w:jc w:val="center"/>
              <w:rPr>
                <w:rFonts w:ascii="Calibri" w:eastAsia="Calibri" w:hAnsi="Calibri" w:cs="Calibri"/>
              </w:rPr>
            </w:pPr>
          </w:p>
        </w:tc>
      </w:tr>
    </w:tbl>
    <w:p w14:paraId="6CF1D60F" w14:textId="6AF4CB2D" w:rsidR="3BA7570E" w:rsidRDefault="3BA7570E" w:rsidP="3BA7570E">
      <w:pPr>
        <w:rPr>
          <w:sz w:val="21"/>
          <w:szCs w:val="21"/>
        </w:rPr>
      </w:pPr>
    </w:p>
    <w:p w14:paraId="10035E68" w14:textId="77777777" w:rsidR="00890F04" w:rsidRDefault="00890F04" w:rsidP="00890F04">
      <w:pPr>
        <w:rPr>
          <w:sz w:val="21"/>
          <w:szCs w:val="21"/>
        </w:rPr>
      </w:pPr>
      <w:r>
        <w:rPr>
          <w:sz w:val="21"/>
          <w:szCs w:val="21"/>
        </w:rPr>
        <w:t>Note: Percentages in the body of the brief are based on weighted values, while the data presented in the demographic table is unweighted.</w:t>
      </w:r>
    </w:p>
    <w:p w14:paraId="19710012" w14:textId="66D812FB" w:rsidR="3BA7570E" w:rsidRDefault="3BA7570E" w:rsidP="3BA7570E">
      <w:pPr>
        <w:rPr>
          <w:sz w:val="21"/>
          <w:szCs w:val="21"/>
        </w:rPr>
      </w:pPr>
    </w:p>
    <w:sectPr w:rsidR="3BA7570E" w:rsidSect="00B15C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se Lowry" w:date="2021-06-14T12:49:00Z" w:initials="E">
    <w:p w14:paraId="7E59AAD7" w14:textId="7FFDF835" w:rsidR="009F24F7" w:rsidRDefault="009F24F7">
      <w:pPr>
        <w:pStyle w:val="CommentText"/>
      </w:pPr>
      <w:r>
        <w:rPr>
          <w:rStyle w:val="CommentReference"/>
        </w:rPr>
        <w:annotationRef/>
      </w:r>
      <w:r w:rsidR="00EF4243">
        <w:t>Laura and Whitney--p</w:t>
      </w:r>
      <w:r>
        <w:t>lease update this text to provide context for what was going on in Georgia at the time the survey was conducted</w:t>
      </w:r>
      <w:r>
        <w:rPr>
          <w:rStyle w:val="CommentReference"/>
        </w:rPr>
        <w:annotationRef/>
      </w:r>
    </w:p>
  </w:comment>
  <w:comment w:id="1" w:author="Elise Lowry" w:date="2021-06-14T13:46:00Z" w:initials="E">
    <w:p w14:paraId="6071E305" w14:textId="6E88825B" w:rsidR="001636FE" w:rsidRDefault="001636FE">
      <w:pPr>
        <w:pStyle w:val="CommentText"/>
      </w:pPr>
      <w:r>
        <w:rPr>
          <w:rStyle w:val="CommentReference"/>
        </w:rPr>
        <w:annotationRef/>
      </w:r>
      <w:r>
        <w:t>Laura and Whitney</w:t>
      </w:r>
      <w:r w:rsidR="00D258AD">
        <w:t>—</w:t>
      </w:r>
      <w:r w:rsidR="00F6236A">
        <w:t>do you want to leave this section in or take it out since</w:t>
      </w:r>
      <w:r w:rsidR="00204B8B">
        <w:t xml:space="preserve"> it’s also reflected in the Rx brief?</w:t>
      </w:r>
    </w:p>
  </w:comment>
  <w:comment w:id="2" w:author="Elise Lowry" w:date="2021-06-14T13:55:00Z" w:initials="E">
    <w:p w14:paraId="1474C704" w14:textId="5A83EB0B" w:rsidR="00A85535" w:rsidRDefault="00A85535">
      <w:pPr>
        <w:pStyle w:val="CommentText"/>
      </w:pPr>
      <w:r>
        <w:rPr>
          <w:rStyle w:val="CommentReference"/>
        </w:rPr>
        <w:annotationRef/>
      </w:r>
      <w:r>
        <w:t>Laura and Whitney</w:t>
      </w:r>
      <w:r w:rsidR="00F21268">
        <w:t xml:space="preserve">—this information is in the Rx </w:t>
      </w:r>
      <w:proofErr w:type="gramStart"/>
      <w:r w:rsidR="00F21268">
        <w:t>brief,</w:t>
      </w:r>
      <w:proofErr w:type="gramEnd"/>
      <w:r w:rsidR="00F21268">
        <w:t xml:space="preserve"> do you want to keep this in here or remove?</w:t>
      </w:r>
    </w:p>
  </w:comment>
  <w:comment w:id="3" w:author="Elise Lowry" w:date="2021-06-15T14:17:00Z" w:initials="EL">
    <w:p w14:paraId="66B3751E" w14:textId="62B5E5E1" w:rsidR="000770FB" w:rsidRDefault="000770FB">
      <w:pPr>
        <w:pStyle w:val="CommentText"/>
      </w:pPr>
      <w:r>
        <w:rPr>
          <w:rStyle w:val="CommentReference"/>
        </w:rPr>
        <w:annotationRef/>
      </w:r>
      <w:r w:rsidR="00683261">
        <w:t>Will be updated with blurb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59AAD7" w15:done="0"/>
  <w15:commentEx w15:paraId="6071E305" w15:done="0"/>
  <w15:commentEx w15:paraId="1474C704" w15:done="0"/>
  <w15:commentEx w15:paraId="66B37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1CEDB" w16cex:dateUtc="2021-06-14T16:49:00Z"/>
  <w16cex:commentExtensible w16cex:durableId="2471DC52" w16cex:dateUtc="2021-06-14T17:46:00Z"/>
  <w16cex:commentExtensible w16cex:durableId="2471DE44" w16cex:dateUtc="2021-06-14T17:55:00Z"/>
  <w16cex:commentExtensible w16cex:durableId="247334F8" w16cex:dateUtc="2021-06-15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59AAD7" w16cid:durableId="2471CEDB"/>
  <w16cid:commentId w16cid:paraId="6071E305" w16cid:durableId="2471DC52"/>
  <w16cid:commentId w16cid:paraId="1474C704" w16cid:durableId="2471DE44"/>
  <w16cid:commentId w16cid:paraId="66B3751E" w16cid:durableId="247334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Brandon Text Black">
    <w:altName w:val="Brandon Text Black"/>
    <w:panose1 w:val="020B0A03020203060203"/>
    <w:charset w:val="00"/>
    <w:family w:val="swiss"/>
    <w:notTrueType/>
    <w:pitch w:val="variable"/>
    <w:sig w:usb0="A00000AF" w:usb1="5000205B" w:usb2="00000000" w:usb3="00000000" w:csb0="0000009B" w:csb1="00000000"/>
  </w:font>
  <w:font w:name="Brandon Text Bold">
    <w:altName w:val="Brandon Text Bold"/>
    <w:panose1 w:val="020B0803020203060203"/>
    <w:charset w:val="00"/>
    <w:family w:val="swiss"/>
    <w:notTrueType/>
    <w:pitch w:val="variable"/>
    <w:sig w:usb0="A00000AF" w:usb1="5000205B" w:usb2="00000000" w:usb3="00000000" w:csb0="0000009B" w:csb1="00000000"/>
  </w:font>
  <w:font w:name="Brandon Text Medium">
    <w:altName w:val="Brandon Text Medium"/>
    <w:panose1 w:val="020B0603020203060203"/>
    <w:charset w:val="00"/>
    <w:family w:val="swiss"/>
    <w:notTrueType/>
    <w:pitch w:val="variable"/>
    <w:sig w:usb0="A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randonText-RegularItalic">
    <w:altName w:val="Calibri"/>
    <w:panose1 w:val="020B05030202030D0203"/>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10D"/>
    <w:multiLevelType w:val="multilevel"/>
    <w:tmpl w:val="0FD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E02E3"/>
    <w:multiLevelType w:val="hybridMultilevel"/>
    <w:tmpl w:val="E032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060182"/>
    <w:multiLevelType w:val="hybridMultilevel"/>
    <w:tmpl w:val="1A580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0C3A34"/>
    <w:multiLevelType w:val="hybridMultilevel"/>
    <w:tmpl w:val="1742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C3407E"/>
    <w:multiLevelType w:val="hybridMultilevel"/>
    <w:tmpl w:val="A0EAE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4F1601"/>
    <w:multiLevelType w:val="hybridMultilevel"/>
    <w:tmpl w:val="96EC7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2A417F"/>
    <w:multiLevelType w:val="hybridMultilevel"/>
    <w:tmpl w:val="C7104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1F0AB8"/>
    <w:multiLevelType w:val="hybridMultilevel"/>
    <w:tmpl w:val="B2DC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DD4760"/>
    <w:multiLevelType w:val="hybridMultilevel"/>
    <w:tmpl w:val="E18EA0D0"/>
    <w:lvl w:ilvl="0" w:tplc="CB66BA4E">
      <w:start w:val="1"/>
      <w:numFmt w:val="bullet"/>
      <w:lvlText w:val=""/>
      <w:lvlJc w:val="left"/>
      <w:pPr>
        <w:ind w:left="720" w:hanging="360"/>
      </w:pPr>
      <w:rPr>
        <w:rFonts w:ascii="Symbol" w:hAnsi="Symbol" w:hint="default"/>
      </w:rPr>
    </w:lvl>
    <w:lvl w:ilvl="1" w:tplc="BBA899CA">
      <w:start w:val="1"/>
      <w:numFmt w:val="bullet"/>
      <w:lvlText w:val="o"/>
      <w:lvlJc w:val="left"/>
      <w:pPr>
        <w:ind w:left="1440" w:hanging="360"/>
      </w:pPr>
      <w:rPr>
        <w:rFonts w:ascii="Courier New" w:hAnsi="Courier New" w:hint="default"/>
      </w:rPr>
    </w:lvl>
    <w:lvl w:ilvl="2" w:tplc="733AF616">
      <w:start w:val="1"/>
      <w:numFmt w:val="bullet"/>
      <w:lvlText w:val=""/>
      <w:lvlJc w:val="left"/>
      <w:pPr>
        <w:ind w:left="2160" w:hanging="360"/>
      </w:pPr>
      <w:rPr>
        <w:rFonts w:ascii="Wingdings" w:hAnsi="Wingdings" w:hint="default"/>
      </w:rPr>
    </w:lvl>
    <w:lvl w:ilvl="3" w:tplc="5DECB2C8">
      <w:start w:val="1"/>
      <w:numFmt w:val="bullet"/>
      <w:lvlText w:val=""/>
      <w:lvlJc w:val="left"/>
      <w:pPr>
        <w:ind w:left="2880" w:hanging="360"/>
      </w:pPr>
      <w:rPr>
        <w:rFonts w:ascii="Symbol" w:hAnsi="Symbol" w:hint="default"/>
      </w:rPr>
    </w:lvl>
    <w:lvl w:ilvl="4" w:tplc="293EA8F6">
      <w:start w:val="1"/>
      <w:numFmt w:val="bullet"/>
      <w:lvlText w:val="o"/>
      <w:lvlJc w:val="left"/>
      <w:pPr>
        <w:ind w:left="3600" w:hanging="360"/>
      </w:pPr>
      <w:rPr>
        <w:rFonts w:ascii="Courier New" w:hAnsi="Courier New" w:hint="default"/>
      </w:rPr>
    </w:lvl>
    <w:lvl w:ilvl="5" w:tplc="7CD8CC32">
      <w:start w:val="1"/>
      <w:numFmt w:val="bullet"/>
      <w:lvlText w:val=""/>
      <w:lvlJc w:val="left"/>
      <w:pPr>
        <w:ind w:left="4320" w:hanging="360"/>
      </w:pPr>
      <w:rPr>
        <w:rFonts w:ascii="Wingdings" w:hAnsi="Wingdings" w:hint="default"/>
      </w:rPr>
    </w:lvl>
    <w:lvl w:ilvl="6" w:tplc="193676F8">
      <w:start w:val="1"/>
      <w:numFmt w:val="bullet"/>
      <w:lvlText w:val=""/>
      <w:lvlJc w:val="left"/>
      <w:pPr>
        <w:ind w:left="5040" w:hanging="360"/>
      </w:pPr>
      <w:rPr>
        <w:rFonts w:ascii="Symbol" w:hAnsi="Symbol" w:hint="default"/>
      </w:rPr>
    </w:lvl>
    <w:lvl w:ilvl="7" w:tplc="AAAADCB6">
      <w:start w:val="1"/>
      <w:numFmt w:val="bullet"/>
      <w:lvlText w:val="o"/>
      <w:lvlJc w:val="left"/>
      <w:pPr>
        <w:ind w:left="5760" w:hanging="360"/>
      </w:pPr>
      <w:rPr>
        <w:rFonts w:ascii="Courier New" w:hAnsi="Courier New" w:hint="default"/>
      </w:rPr>
    </w:lvl>
    <w:lvl w:ilvl="8" w:tplc="BDC48B0E">
      <w:start w:val="1"/>
      <w:numFmt w:val="bullet"/>
      <w:lvlText w:val=""/>
      <w:lvlJc w:val="left"/>
      <w:pPr>
        <w:ind w:left="6480" w:hanging="360"/>
      </w:pPr>
      <w:rPr>
        <w:rFonts w:ascii="Wingdings" w:hAnsi="Wingdings" w:hint="default"/>
      </w:rPr>
    </w:lvl>
  </w:abstractNum>
  <w:abstractNum w:abstractNumId="9" w15:restartNumberingAfterBreak="0">
    <w:nsid w:val="470D73AD"/>
    <w:multiLevelType w:val="hybridMultilevel"/>
    <w:tmpl w:val="43F0D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F62B9"/>
    <w:multiLevelType w:val="hybridMultilevel"/>
    <w:tmpl w:val="35E4B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CE736F"/>
    <w:multiLevelType w:val="hybridMultilevel"/>
    <w:tmpl w:val="7096C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1742F9"/>
    <w:multiLevelType w:val="hybridMultilevel"/>
    <w:tmpl w:val="00728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A446B3"/>
    <w:multiLevelType w:val="hybridMultilevel"/>
    <w:tmpl w:val="E73EF190"/>
    <w:lvl w:ilvl="0" w:tplc="E10411A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6CE088C"/>
    <w:multiLevelType w:val="hybridMultilevel"/>
    <w:tmpl w:val="1670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7"/>
  </w:num>
  <w:num w:numId="4">
    <w:abstractNumId w:val="1"/>
  </w:num>
  <w:num w:numId="5">
    <w:abstractNumId w:val="3"/>
  </w:num>
  <w:num w:numId="6">
    <w:abstractNumId w:val="5"/>
  </w:num>
  <w:num w:numId="7">
    <w:abstractNumId w:val="6"/>
  </w:num>
  <w:num w:numId="8">
    <w:abstractNumId w:val="10"/>
  </w:num>
  <w:num w:numId="9">
    <w:abstractNumId w:val="11"/>
  </w:num>
  <w:num w:numId="10">
    <w:abstractNumId w:val="12"/>
  </w:num>
  <w:num w:numId="11">
    <w:abstractNumId w:val="2"/>
  </w:num>
  <w:num w:numId="12">
    <w:abstractNumId w:val="4"/>
  </w:num>
  <w:num w:numId="13">
    <w:abstractNumId w:val="13"/>
  </w:num>
  <w:num w:numId="14">
    <w:abstractNumId w:val="9"/>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se Lowry">
    <w15:presenceInfo w15:providerId="AD" w15:userId="S::Elise.Lowry@Altarum.org::85c0edd6-abb3-4c4c-97eb-db2971d686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C0"/>
    <w:rsid w:val="00000E00"/>
    <w:rsid w:val="000048EB"/>
    <w:rsid w:val="000170C3"/>
    <w:rsid w:val="00020108"/>
    <w:rsid w:val="0003325A"/>
    <w:rsid w:val="0003487F"/>
    <w:rsid w:val="00035360"/>
    <w:rsid w:val="00045CD1"/>
    <w:rsid w:val="000619A7"/>
    <w:rsid w:val="0007689E"/>
    <w:rsid w:val="000770FB"/>
    <w:rsid w:val="00081A21"/>
    <w:rsid w:val="00091864"/>
    <w:rsid w:val="00092ECD"/>
    <w:rsid w:val="000A03C7"/>
    <w:rsid w:val="000A1146"/>
    <w:rsid w:val="000A6535"/>
    <w:rsid w:val="000C433A"/>
    <w:rsid w:val="000D008F"/>
    <w:rsid w:val="000D2776"/>
    <w:rsid w:val="000D3F66"/>
    <w:rsid w:val="000D4E9A"/>
    <w:rsid w:val="000E0D6D"/>
    <w:rsid w:val="000E6110"/>
    <w:rsid w:val="000F2914"/>
    <w:rsid w:val="00100840"/>
    <w:rsid w:val="00100EBC"/>
    <w:rsid w:val="0010271F"/>
    <w:rsid w:val="001042AF"/>
    <w:rsid w:val="00106FF7"/>
    <w:rsid w:val="00107806"/>
    <w:rsid w:val="00110A2B"/>
    <w:rsid w:val="00122BCC"/>
    <w:rsid w:val="00140DAF"/>
    <w:rsid w:val="00142AEB"/>
    <w:rsid w:val="001430A7"/>
    <w:rsid w:val="00147B2D"/>
    <w:rsid w:val="00147F0A"/>
    <w:rsid w:val="00152A1A"/>
    <w:rsid w:val="00155282"/>
    <w:rsid w:val="00162160"/>
    <w:rsid w:val="001636FE"/>
    <w:rsid w:val="001637AC"/>
    <w:rsid w:val="001663A1"/>
    <w:rsid w:val="001716C6"/>
    <w:rsid w:val="001B2D09"/>
    <w:rsid w:val="001C247C"/>
    <w:rsid w:val="001C53EC"/>
    <w:rsid w:val="001D28FE"/>
    <w:rsid w:val="001D2A29"/>
    <w:rsid w:val="001D4E1F"/>
    <w:rsid w:val="001D6CCF"/>
    <w:rsid w:val="001E13B2"/>
    <w:rsid w:val="001E1A58"/>
    <w:rsid w:val="001E3922"/>
    <w:rsid w:val="001E6751"/>
    <w:rsid w:val="001F2155"/>
    <w:rsid w:val="001F4A27"/>
    <w:rsid w:val="002037E4"/>
    <w:rsid w:val="00204B8B"/>
    <w:rsid w:val="00211256"/>
    <w:rsid w:val="00216DDA"/>
    <w:rsid w:val="0023005C"/>
    <w:rsid w:val="00234F63"/>
    <w:rsid w:val="00235399"/>
    <w:rsid w:val="002366BF"/>
    <w:rsid w:val="00241FAF"/>
    <w:rsid w:val="00242410"/>
    <w:rsid w:val="0025414E"/>
    <w:rsid w:val="00261CEE"/>
    <w:rsid w:val="00262CF9"/>
    <w:rsid w:val="00263D94"/>
    <w:rsid w:val="0026679F"/>
    <w:rsid w:val="00281C94"/>
    <w:rsid w:val="00286CD5"/>
    <w:rsid w:val="0028CC91"/>
    <w:rsid w:val="002A14E8"/>
    <w:rsid w:val="002A1BEC"/>
    <w:rsid w:val="002B1267"/>
    <w:rsid w:val="002B4D32"/>
    <w:rsid w:val="002E407E"/>
    <w:rsid w:val="002F6F82"/>
    <w:rsid w:val="00312BB9"/>
    <w:rsid w:val="00314E65"/>
    <w:rsid w:val="00316217"/>
    <w:rsid w:val="00321AAA"/>
    <w:rsid w:val="003223CF"/>
    <w:rsid w:val="0032354A"/>
    <w:rsid w:val="003337D5"/>
    <w:rsid w:val="00341091"/>
    <w:rsid w:val="00341377"/>
    <w:rsid w:val="00342558"/>
    <w:rsid w:val="003428DB"/>
    <w:rsid w:val="003434B8"/>
    <w:rsid w:val="003452DD"/>
    <w:rsid w:val="00351E97"/>
    <w:rsid w:val="003532F6"/>
    <w:rsid w:val="0035F200"/>
    <w:rsid w:val="0036251D"/>
    <w:rsid w:val="00372315"/>
    <w:rsid w:val="003760D8"/>
    <w:rsid w:val="00386C10"/>
    <w:rsid w:val="003969BB"/>
    <w:rsid w:val="003A0FCC"/>
    <w:rsid w:val="003A2EC1"/>
    <w:rsid w:val="003A4298"/>
    <w:rsid w:val="003B5F90"/>
    <w:rsid w:val="003C2388"/>
    <w:rsid w:val="003D4FE1"/>
    <w:rsid w:val="003D7843"/>
    <w:rsid w:val="003E09A6"/>
    <w:rsid w:val="003E34E0"/>
    <w:rsid w:val="003E3AD9"/>
    <w:rsid w:val="003E4B06"/>
    <w:rsid w:val="003E4DC8"/>
    <w:rsid w:val="00400C2D"/>
    <w:rsid w:val="0041111B"/>
    <w:rsid w:val="00412960"/>
    <w:rsid w:val="004129BC"/>
    <w:rsid w:val="004160F6"/>
    <w:rsid w:val="00416F9F"/>
    <w:rsid w:val="004240B1"/>
    <w:rsid w:val="00424DC0"/>
    <w:rsid w:val="00427898"/>
    <w:rsid w:val="0043038C"/>
    <w:rsid w:val="00447769"/>
    <w:rsid w:val="0045051C"/>
    <w:rsid w:val="00453ADC"/>
    <w:rsid w:val="00457A59"/>
    <w:rsid w:val="00465935"/>
    <w:rsid w:val="004705FA"/>
    <w:rsid w:val="004874BD"/>
    <w:rsid w:val="00490A39"/>
    <w:rsid w:val="00493D4D"/>
    <w:rsid w:val="004A093D"/>
    <w:rsid w:val="004A2C8C"/>
    <w:rsid w:val="004B0FF3"/>
    <w:rsid w:val="004B45B7"/>
    <w:rsid w:val="004D1D74"/>
    <w:rsid w:val="004D2C03"/>
    <w:rsid w:val="004E5DA9"/>
    <w:rsid w:val="004F3CD1"/>
    <w:rsid w:val="00502F2D"/>
    <w:rsid w:val="00507BE5"/>
    <w:rsid w:val="005111A1"/>
    <w:rsid w:val="00516C64"/>
    <w:rsid w:val="00521B4D"/>
    <w:rsid w:val="00525CD5"/>
    <w:rsid w:val="00534C8A"/>
    <w:rsid w:val="00535D77"/>
    <w:rsid w:val="00551B0B"/>
    <w:rsid w:val="00554DF5"/>
    <w:rsid w:val="005717B8"/>
    <w:rsid w:val="00573888"/>
    <w:rsid w:val="00576B58"/>
    <w:rsid w:val="00580C89"/>
    <w:rsid w:val="00595C09"/>
    <w:rsid w:val="005B7D34"/>
    <w:rsid w:val="005C2878"/>
    <w:rsid w:val="005C2E58"/>
    <w:rsid w:val="005C5FC0"/>
    <w:rsid w:val="005C725B"/>
    <w:rsid w:val="005D0181"/>
    <w:rsid w:val="005D25CF"/>
    <w:rsid w:val="005D5326"/>
    <w:rsid w:val="00604686"/>
    <w:rsid w:val="00641C03"/>
    <w:rsid w:val="00644925"/>
    <w:rsid w:val="00647548"/>
    <w:rsid w:val="00650DF8"/>
    <w:rsid w:val="00660A26"/>
    <w:rsid w:val="006627F2"/>
    <w:rsid w:val="00670966"/>
    <w:rsid w:val="00675B68"/>
    <w:rsid w:val="00683261"/>
    <w:rsid w:val="00684390"/>
    <w:rsid w:val="006847B3"/>
    <w:rsid w:val="00686664"/>
    <w:rsid w:val="00691957"/>
    <w:rsid w:val="00693C3B"/>
    <w:rsid w:val="00697A59"/>
    <w:rsid w:val="00697C5C"/>
    <w:rsid w:val="006A15C8"/>
    <w:rsid w:val="006A27D2"/>
    <w:rsid w:val="006B2798"/>
    <w:rsid w:val="006B7652"/>
    <w:rsid w:val="006C52AF"/>
    <w:rsid w:val="006D1D03"/>
    <w:rsid w:val="006E549C"/>
    <w:rsid w:val="006F173A"/>
    <w:rsid w:val="006F42E2"/>
    <w:rsid w:val="0071103B"/>
    <w:rsid w:val="007169BC"/>
    <w:rsid w:val="00727E78"/>
    <w:rsid w:val="00737788"/>
    <w:rsid w:val="00743907"/>
    <w:rsid w:val="0075193D"/>
    <w:rsid w:val="00762AB5"/>
    <w:rsid w:val="00766EE7"/>
    <w:rsid w:val="00771204"/>
    <w:rsid w:val="007817A7"/>
    <w:rsid w:val="0079161B"/>
    <w:rsid w:val="007B2B78"/>
    <w:rsid w:val="007B63D2"/>
    <w:rsid w:val="007C756B"/>
    <w:rsid w:val="007D1D09"/>
    <w:rsid w:val="007D1D0C"/>
    <w:rsid w:val="007E17E7"/>
    <w:rsid w:val="007E1E05"/>
    <w:rsid w:val="007E7D32"/>
    <w:rsid w:val="007F0B06"/>
    <w:rsid w:val="007F67E6"/>
    <w:rsid w:val="00803999"/>
    <w:rsid w:val="00805149"/>
    <w:rsid w:val="00806377"/>
    <w:rsid w:val="00821728"/>
    <w:rsid w:val="00821A27"/>
    <w:rsid w:val="00826995"/>
    <w:rsid w:val="00833797"/>
    <w:rsid w:val="00842CCA"/>
    <w:rsid w:val="00847FD0"/>
    <w:rsid w:val="008546B3"/>
    <w:rsid w:val="00862D9C"/>
    <w:rsid w:val="0087484C"/>
    <w:rsid w:val="008753F8"/>
    <w:rsid w:val="008842A4"/>
    <w:rsid w:val="008863C9"/>
    <w:rsid w:val="00890F04"/>
    <w:rsid w:val="00892D16"/>
    <w:rsid w:val="00893384"/>
    <w:rsid w:val="008A1B84"/>
    <w:rsid w:val="008A3EEA"/>
    <w:rsid w:val="008B1E5E"/>
    <w:rsid w:val="008B4CBF"/>
    <w:rsid w:val="008C0855"/>
    <w:rsid w:val="008C54F0"/>
    <w:rsid w:val="008E1B12"/>
    <w:rsid w:val="008F1FF7"/>
    <w:rsid w:val="008F27A7"/>
    <w:rsid w:val="008F6E0C"/>
    <w:rsid w:val="008F7FF4"/>
    <w:rsid w:val="00910156"/>
    <w:rsid w:val="0092192A"/>
    <w:rsid w:val="00924675"/>
    <w:rsid w:val="0094190A"/>
    <w:rsid w:val="009429BF"/>
    <w:rsid w:val="00952794"/>
    <w:rsid w:val="00972A1A"/>
    <w:rsid w:val="0097333D"/>
    <w:rsid w:val="009738AE"/>
    <w:rsid w:val="00980E4C"/>
    <w:rsid w:val="009851C1"/>
    <w:rsid w:val="00996930"/>
    <w:rsid w:val="00997406"/>
    <w:rsid w:val="009A394E"/>
    <w:rsid w:val="009B1C28"/>
    <w:rsid w:val="009B53EB"/>
    <w:rsid w:val="009C64C8"/>
    <w:rsid w:val="009D71A5"/>
    <w:rsid w:val="009E0019"/>
    <w:rsid w:val="009E0F0F"/>
    <w:rsid w:val="009F24F7"/>
    <w:rsid w:val="009F6378"/>
    <w:rsid w:val="00A12F6E"/>
    <w:rsid w:val="00A263B2"/>
    <w:rsid w:val="00A31082"/>
    <w:rsid w:val="00A319ED"/>
    <w:rsid w:val="00A3286E"/>
    <w:rsid w:val="00A352EA"/>
    <w:rsid w:val="00A35B94"/>
    <w:rsid w:val="00A43B95"/>
    <w:rsid w:val="00A61888"/>
    <w:rsid w:val="00A61D61"/>
    <w:rsid w:val="00A65E9B"/>
    <w:rsid w:val="00A850B2"/>
    <w:rsid w:val="00A852B3"/>
    <w:rsid w:val="00A85535"/>
    <w:rsid w:val="00A87DC3"/>
    <w:rsid w:val="00AA05CA"/>
    <w:rsid w:val="00AA13B7"/>
    <w:rsid w:val="00AA7F22"/>
    <w:rsid w:val="00AC01AB"/>
    <w:rsid w:val="00AC022A"/>
    <w:rsid w:val="00AC0629"/>
    <w:rsid w:val="00AD3DB3"/>
    <w:rsid w:val="00AD513E"/>
    <w:rsid w:val="00AE2D07"/>
    <w:rsid w:val="00AE6323"/>
    <w:rsid w:val="00AF5DA9"/>
    <w:rsid w:val="00B0192A"/>
    <w:rsid w:val="00B0263C"/>
    <w:rsid w:val="00B049B3"/>
    <w:rsid w:val="00B14298"/>
    <w:rsid w:val="00B15CFB"/>
    <w:rsid w:val="00B33546"/>
    <w:rsid w:val="00B3382D"/>
    <w:rsid w:val="00B34069"/>
    <w:rsid w:val="00B348AE"/>
    <w:rsid w:val="00B50A84"/>
    <w:rsid w:val="00B56E32"/>
    <w:rsid w:val="00B57446"/>
    <w:rsid w:val="00B576F2"/>
    <w:rsid w:val="00B64CD6"/>
    <w:rsid w:val="00B83FB3"/>
    <w:rsid w:val="00B847B0"/>
    <w:rsid w:val="00B95381"/>
    <w:rsid w:val="00B961BA"/>
    <w:rsid w:val="00BA1174"/>
    <w:rsid w:val="00BA6987"/>
    <w:rsid w:val="00BB0BA5"/>
    <w:rsid w:val="00BB542A"/>
    <w:rsid w:val="00BC434E"/>
    <w:rsid w:val="00BC5E22"/>
    <w:rsid w:val="00BD2657"/>
    <w:rsid w:val="00BE1EBF"/>
    <w:rsid w:val="00BE52AC"/>
    <w:rsid w:val="00BF2D5D"/>
    <w:rsid w:val="00BF44B2"/>
    <w:rsid w:val="00BF547F"/>
    <w:rsid w:val="00BF6F59"/>
    <w:rsid w:val="00BF7582"/>
    <w:rsid w:val="00C06687"/>
    <w:rsid w:val="00C150A4"/>
    <w:rsid w:val="00C20344"/>
    <w:rsid w:val="00C327BB"/>
    <w:rsid w:val="00C32C97"/>
    <w:rsid w:val="00C34A0E"/>
    <w:rsid w:val="00C37D78"/>
    <w:rsid w:val="00C43BFD"/>
    <w:rsid w:val="00C47FF8"/>
    <w:rsid w:val="00C61F88"/>
    <w:rsid w:val="00C625C8"/>
    <w:rsid w:val="00C70DD5"/>
    <w:rsid w:val="00C90EAA"/>
    <w:rsid w:val="00C9530C"/>
    <w:rsid w:val="00CA0FBD"/>
    <w:rsid w:val="00CA1A2F"/>
    <w:rsid w:val="00CA64D0"/>
    <w:rsid w:val="00CC1B4B"/>
    <w:rsid w:val="00CC3630"/>
    <w:rsid w:val="00CD26B7"/>
    <w:rsid w:val="00CD70DC"/>
    <w:rsid w:val="00CE1A9D"/>
    <w:rsid w:val="00CE5CD7"/>
    <w:rsid w:val="00CF072C"/>
    <w:rsid w:val="00CF1E25"/>
    <w:rsid w:val="00CF2A3C"/>
    <w:rsid w:val="00CF2D2E"/>
    <w:rsid w:val="00CF4843"/>
    <w:rsid w:val="00D0143E"/>
    <w:rsid w:val="00D035DD"/>
    <w:rsid w:val="00D07F4F"/>
    <w:rsid w:val="00D13B5D"/>
    <w:rsid w:val="00D15560"/>
    <w:rsid w:val="00D16CB4"/>
    <w:rsid w:val="00D258AD"/>
    <w:rsid w:val="00D30371"/>
    <w:rsid w:val="00D36689"/>
    <w:rsid w:val="00D41DBB"/>
    <w:rsid w:val="00D45C6E"/>
    <w:rsid w:val="00D55271"/>
    <w:rsid w:val="00D55FC9"/>
    <w:rsid w:val="00D774A8"/>
    <w:rsid w:val="00D85880"/>
    <w:rsid w:val="00D97A3A"/>
    <w:rsid w:val="00DA049B"/>
    <w:rsid w:val="00DA24F1"/>
    <w:rsid w:val="00DB42A6"/>
    <w:rsid w:val="00DB6C50"/>
    <w:rsid w:val="00DC65D7"/>
    <w:rsid w:val="00DC71AE"/>
    <w:rsid w:val="00DD119B"/>
    <w:rsid w:val="00DD3C44"/>
    <w:rsid w:val="00DE217B"/>
    <w:rsid w:val="00DE4A7C"/>
    <w:rsid w:val="00DE6ED7"/>
    <w:rsid w:val="00DF50B7"/>
    <w:rsid w:val="00E06837"/>
    <w:rsid w:val="00E10660"/>
    <w:rsid w:val="00E13D9B"/>
    <w:rsid w:val="00E16641"/>
    <w:rsid w:val="00E205BA"/>
    <w:rsid w:val="00E23057"/>
    <w:rsid w:val="00E3180A"/>
    <w:rsid w:val="00E34A2E"/>
    <w:rsid w:val="00E50B1E"/>
    <w:rsid w:val="00E524BA"/>
    <w:rsid w:val="00E65EFF"/>
    <w:rsid w:val="00E70F06"/>
    <w:rsid w:val="00E7155B"/>
    <w:rsid w:val="00E769A2"/>
    <w:rsid w:val="00E914D7"/>
    <w:rsid w:val="00EA34AE"/>
    <w:rsid w:val="00EA6709"/>
    <w:rsid w:val="00EC18AA"/>
    <w:rsid w:val="00EC433D"/>
    <w:rsid w:val="00ED0D24"/>
    <w:rsid w:val="00ED4297"/>
    <w:rsid w:val="00EE0748"/>
    <w:rsid w:val="00EE0895"/>
    <w:rsid w:val="00EF4243"/>
    <w:rsid w:val="00F03CA5"/>
    <w:rsid w:val="00F04BB5"/>
    <w:rsid w:val="00F07A42"/>
    <w:rsid w:val="00F15E9A"/>
    <w:rsid w:val="00F201E3"/>
    <w:rsid w:val="00F21268"/>
    <w:rsid w:val="00F303B0"/>
    <w:rsid w:val="00F40D40"/>
    <w:rsid w:val="00F44F5B"/>
    <w:rsid w:val="00F6236A"/>
    <w:rsid w:val="00F70501"/>
    <w:rsid w:val="00F760A7"/>
    <w:rsid w:val="00F847F9"/>
    <w:rsid w:val="00F91989"/>
    <w:rsid w:val="00F91EC5"/>
    <w:rsid w:val="00F93573"/>
    <w:rsid w:val="00F93AA1"/>
    <w:rsid w:val="00F9656D"/>
    <w:rsid w:val="00FA4059"/>
    <w:rsid w:val="00FB00B4"/>
    <w:rsid w:val="00FD3D04"/>
    <w:rsid w:val="00FD4E4F"/>
    <w:rsid w:val="00FE4899"/>
    <w:rsid w:val="00FF2265"/>
    <w:rsid w:val="00FF4D12"/>
    <w:rsid w:val="023BC94C"/>
    <w:rsid w:val="028E1B23"/>
    <w:rsid w:val="02B7D312"/>
    <w:rsid w:val="02FE2336"/>
    <w:rsid w:val="032B5780"/>
    <w:rsid w:val="042C4A6D"/>
    <w:rsid w:val="04F3D421"/>
    <w:rsid w:val="0546BCE0"/>
    <w:rsid w:val="07A6593D"/>
    <w:rsid w:val="0939CE7B"/>
    <w:rsid w:val="0A1F675D"/>
    <w:rsid w:val="0B88FEEA"/>
    <w:rsid w:val="0BB03211"/>
    <w:rsid w:val="0C5A41B7"/>
    <w:rsid w:val="0E187E2B"/>
    <w:rsid w:val="0E6DFCAE"/>
    <w:rsid w:val="0E971D0C"/>
    <w:rsid w:val="0F6D714D"/>
    <w:rsid w:val="0F78BA1C"/>
    <w:rsid w:val="0FE373D8"/>
    <w:rsid w:val="1006D39A"/>
    <w:rsid w:val="11E75A88"/>
    <w:rsid w:val="12DA7436"/>
    <w:rsid w:val="13497AE8"/>
    <w:rsid w:val="136CBA3B"/>
    <w:rsid w:val="13EE6F50"/>
    <w:rsid w:val="14B0ABD2"/>
    <w:rsid w:val="15B5BECC"/>
    <w:rsid w:val="15F8C229"/>
    <w:rsid w:val="17ADE559"/>
    <w:rsid w:val="1822F918"/>
    <w:rsid w:val="190FDC67"/>
    <w:rsid w:val="191F9C62"/>
    <w:rsid w:val="1924F0CE"/>
    <w:rsid w:val="1A1C62CA"/>
    <w:rsid w:val="1A58281C"/>
    <w:rsid w:val="1A6E919C"/>
    <w:rsid w:val="1ACC5DBE"/>
    <w:rsid w:val="1AE5861B"/>
    <w:rsid w:val="1C7A0368"/>
    <w:rsid w:val="1CC0F206"/>
    <w:rsid w:val="1D1AAA6E"/>
    <w:rsid w:val="1DC58540"/>
    <w:rsid w:val="1E5037C5"/>
    <w:rsid w:val="20E7216C"/>
    <w:rsid w:val="2110BA57"/>
    <w:rsid w:val="220548DD"/>
    <w:rsid w:val="22DABB47"/>
    <w:rsid w:val="232AD7E8"/>
    <w:rsid w:val="24079A09"/>
    <w:rsid w:val="24088FC4"/>
    <w:rsid w:val="24511432"/>
    <w:rsid w:val="24F21FEC"/>
    <w:rsid w:val="24F7F26C"/>
    <w:rsid w:val="2654074B"/>
    <w:rsid w:val="271D5F58"/>
    <w:rsid w:val="2974DB5F"/>
    <w:rsid w:val="29A36057"/>
    <w:rsid w:val="29AE5557"/>
    <w:rsid w:val="2A150049"/>
    <w:rsid w:val="2A97C13D"/>
    <w:rsid w:val="2AA190D6"/>
    <w:rsid w:val="2BB829E8"/>
    <w:rsid w:val="2C96310E"/>
    <w:rsid w:val="2D14F00B"/>
    <w:rsid w:val="2D807AB4"/>
    <w:rsid w:val="2D8AFC0D"/>
    <w:rsid w:val="302747C4"/>
    <w:rsid w:val="310EA209"/>
    <w:rsid w:val="31BDB0B8"/>
    <w:rsid w:val="31E3807B"/>
    <w:rsid w:val="321D2706"/>
    <w:rsid w:val="3290034C"/>
    <w:rsid w:val="32B5012D"/>
    <w:rsid w:val="33144B0D"/>
    <w:rsid w:val="331F43D4"/>
    <w:rsid w:val="3378A85B"/>
    <w:rsid w:val="34C8A993"/>
    <w:rsid w:val="34F6A84B"/>
    <w:rsid w:val="35482DA2"/>
    <w:rsid w:val="357D26C1"/>
    <w:rsid w:val="3709ACA9"/>
    <w:rsid w:val="37311A85"/>
    <w:rsid w:val="37E2A0BD"/>
    <w:rsid w:val="38088387"/>
    <w:rsid w:val="38B50D21"/>
    <w:rsid w:val="397CECBE"/>
    <w:rsid w:val="39888FD9"/>
    <w:rsid w:val="3A6F7362"/>
    <w:rsid w:val="3BA7570E"/>
    <w:rsid w:val="3BF93A86"/>
    <w:rsid w:val="3C5855F1"/>
    <w:rsid w:val="3CE76407"/>
    <w:rsid w:val="3E9D4D32"/>
    <w:rsid w:val="40C5F0B2"/>
    <w:rsid w:val="419806F3"/>
    <w:rsid w:val="419B4890"/>
    <w:rsid w:val="43001B2F"/>
    <w:rsid w:val="437A1256"/>
    <w:rsid w:val="442219CC"/>
    <w:rsid w:val="4557F65C"/>
    <w:rsid w:val="461229AD"/>
    <w:rsid w:val="471A9E1C"/>
    <w:rsid w:val="47469FB5"/>
    <w:rsid w:val="47F51A40"/>
    <w:rsid w:val="4918F26D"/>
    <w:rsid w:val="4A94DC8F"/>
    <w:rsid w:val="4B1FFC13"/>
    <w:rsid w:val="4BC752EE"/>
    <w:rsid w:val="4BFDDD1D"/>
    <w:rsid w:val="4D649EA0"/>
    <w:rsid w:val="4E3E4E35"/>
    <w:rsid w:val="4F41D92B"/>
    <w:rsid w:val="524F22DB"/>
    <w:rsid w:val="5284F038"/>
    <w:rsid w:val="52B2421F"/>
    <w:rsid w:val="537BC983"/>
    <w:rsid w:val="53D3C4DF"/>
    <w:rsid w:val="54A9E336"/>
    <w:rsid w:val="5533F407"/>
    <w:rsid w:val="554C790C"/>
    <w:rsid w:val="55A229D2"/>
    <w:rsid w:val="562DEC17"/>
    <w:rsid w:val="56C74261"/>
    <w:rsid w:val="572EFD56"/>
    <w:rsid w:val="585189B3"/>
    <w:rsid w:val="58ADA86E"/>
    <w:rsid w:val="5A3A88CF"/>
    <w:rsid w:val="5A550515"/>
    <w:rsid w:val="5A5A6AE5"/>
    <w:rsid w:val="5AC5F1D4"/>
    <w:rsid w:val="5B354E3C"/>
    <w:rsid w:val="5B7123C4"/>
    <w:rsid w:val="5B7376E9"/>
    <w:rsid w:val="5C38D65A"/>
    <w:rsid w:val="5C6BB290"/>
    <w:rsid w:val="5C6F043D"/>
    <w:rsid w:val="5C799EFC"/>
    <w:rsid w:val="5CDCD63E"/>
    <w:rsid w:val="5D09836C"/>
    <w:rsid w:val="5D28236B"/>
    <w:rsid w:val="5DFD9296"/>
    <w:rsid w:val="5F6F7512"/>
    <w:rsid w:val="5F8DB14B"/>
    <w:rsid w:val="60914D22"/>
    <w:rsid w:val="609F91F6"/>
    <w:rsid w:val="60B8BA53"/>
    <w:rsid w:val="62A9DCD1"/>
    <w:rsid w:val="62D3D61A"/>
    <w:rsid w:val="630FB28C"/>
    <w:rsid w:val="63F05B15"/>
    <w:rsid w:val="650A2F50"/>
    <w:rsid w:val="673B9A3C"/>
    <w:rsid w:val="6777D7F4"/>
    <w:rsid w:val="677D4C08"/>
    <w:rsid w:val="680A6C82"/>
    <w:rsid w:val="683B4773"/>
    <w:rsid w:val="69134BD8"/>
    <w:rsid w:val="69188B2A"/>
    <w:rsid w:val="6A3EC1DA"/>
    <w:rsid w:val="6B72E835"/>
    <w:rsid w:val="6B73A057"/>
    <w:rsid w:val="6CC66E71"/>
    <w:rsid w:val="6E1A0FB4"/>
    <w:rsid w:val="6E5D1493"/>
    <w:rsid w:val="6F778DF6"/>
    <w:rsid w:val="700ABB4D"/>
    <w:rsid w:val="70C8BE84"/>
    <w:rsid w:val="71157B8E"/>
    <w:rsid w:val="7210C9B9"/>
    <w:rsid w:val="73534E47"/>
    <w:rsid w:val="73656066"/>
    <w:rsid w:val="740FE554"/>
    <w:rsid w:val="74E0783A"/>
    <w:rsid w:val="74E11975"/>
    <w:rsid w:val="758AC515"/>
    <w:rsid w:val="764402A4"/>
    <w:rsid w:val="76967399"/>
    <w:rsid w:val="773EB841"/>
    <w:rsid w:val="77B10549"/>
    <w:rsid w:val="77FF91DA"/>
    <w:rsid w:val="784EA8B6"/>
    <w:rsid w:val="79C9652A"/>
    <w:rsid w:val="7AB0973F"/>
    <w:rsid w:val="7C1FDE96"/>
    <w:rsid w:val="7E9A219E"/>
    <w:rsid w:val="7F4B7EAB"/>
    <w:rsid w:val="7F84C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2D5B"/>
  <w15:chartTrackingRefBased/>
  <w15:docId w15:val="{9BEBBA61-A642-4506-A0BB-DE263A5A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5C5FC0"/>
    <w:pPr>
      <w:suppressAutoHyphens/>
      <w:autoSpaceDE w:val="0"/>
      <w:autoSpaceDN w:val="0"/>
      <w:adjustRightInd w:val="0"/>
      <w:spacing w:before="180" w:line="280" w:lineRule="atLeast"/>
      <w:textAlignment w:val="center"/>
    </w:pPr>
    <w:rPr>
      <w:rFonts w:ascii="Brandon Text Regular" w:hAnsi="Brandon Text Regular" w:cs="Brandon Text Regular"/>
      <w:color w:val="000000"/>
      <w:sz w:val="23"/>
      <w:szCs w:val="23"/>
    </w:rPr>
  </w:style>
  <w:style w:type="paragraph" w:customStyle="1" w:styleId="BodyFirstGraph">
    <w:name w:val="Body First Graph"/>
    <w:basedOn w:val="body"/>
    <w:uiPriority w:val="99"/>
    <w:rsid w:val="005C5FC0"/>
    <w:pPr>
      <w:spacing w:before="90"/>
    </w:pPr>
  </w:style>
  <w:style w:type="paragraph" w:customStyle="1" w:styleId="SubHead">
    <w:name w:val="Sub Head"/>
    <w:basedOn w:val="Normal"/>
    <w:uiPriority w:val="99"/>
    <w:rsid w:val="005C5FC0"/>
    <w:pPr>
      <w:autoSpaceDE w:val="0"/>
      <w:autoSpaceDN w:val="0"/>
      <w:adjustRightInd w:val="0"/>
      <w:spacing w:before="180" w:after="90" w:line="260" w:lineRule="atLeast"/>
      <w:textAlignment w:val="center"/>
    </w:pPr>
    <w:rPr>
      <w:rFonts w:ascii="Brandon Text Black" w:hAnsi="Brandon Text Black" w:cs="Brandon Text Black"/>
      <w:smallCaps/>
      <w:color w:val="ED1C24"/>
      <w:sz w:val="28"/>
      <w:szCs w:val="28"/>
    </w:rPr>
  </w:style>
  <w:style w:type="paragraph" w:customStyle="1" w:styleId="SubSubHead">
    <w:name w:val="Sub Sub Head"/>
    <w:basedOn w:val="Normal"/>
    <w:uiPriority w:val="99"/>
    <w:rsid w:val="005C5FC0"/>
    <w:pPr>
      <w:autoSpaceDE w:val="0"/>
      <w:autoSpaceDN w:val="0"/>
      <w:adjustRightInd w:val="0"/>
      <w:spacing w:before="180" w:after="90" w:line="260" w:lineRule="atLeast"/>
      <w:textAlignment w:val="center"/>
    </w:pPr>
    <w:rPr>
      <w:rFonts w:ascii="Brandon Text Bold" w:hAnsi="Brandon Text Bold" w:cs="Brandon Text Bold"/>
      <w:b/>
      <w:bCs/>
      <w:smallCaps/>
      <w:color w:val="000000"/>
      <w:sz w:val="25"/>
      <w:szCs w:val="25"/>
    </w:rPr>
  </w:style>
  <w:style w:type="paragraph" w:customStyle="1" w:styleId="BodyBulletFirst">
    <w:name w:val="Body Bullet First"/>
    <w:basedOn w:val="Normal"/>
    <w:uiPriority w:val="99"/>
    <w:rsid w:val="005C5FC0"/>
    <w:pPr>
      <w:suppressAutoHyphens/>
      <w:autoSpaceDE w:val="0"/>
      <w:autoSpaceDN w:val="0"/>
      <w:adjustRightInd w:val="0"/>
      <w:spacing w:before="90" w:after="72" w:line="270" w:lineRule="atLeast"/>
      <w:ind w:left="500" w:hanging="270"/>
      <w:textAlignment w:val="center"/>
    </w:pPr>
    <w:rPr>
      <w:rFonts w:ascii="Brandon Text Regular" w:hAnsi="Brandon Text Regular" w:cs="Brandon Text Regular"/>
      <w:color w:val="000000"/>
      <w:sz w:val="23"/>
      <w:szCs w:val="23"/>
    </w:rPr>
  </w:style>
  <w:style w:type="paragraph" w:customStyle="1" w:styleId="BodyBullet">
    <w:name w:val="Body Bullet"/>
    <w:basedOn w:val="BodyBulletFirst"/>
    <w:uiPriority w:val="99"/>
    <w:rsid w:val="005C5FC0"/>
    <w:pPr>
      <w:spacing w:before="0"/>
    </w:pPr>
  </w:style>
  <w:style w:type="paragraph" w:customStyle="1" w:styleId="BodyBulletLast">
    <w:name w:val="Body Bullet Last"/>
    <w:basedOn w:val="BodyBullet"/>
    <w:uiPriority w:val="99"/>
    <w:rsid w:val="005C5FC0"/>
  </w:style>
  <w:style w:type="paragraph" w:customStyle="1" w:styleId="Bodyafterbullet">
    <w:name w:val="Body after bullet"/>
    <w:basedOn w:val="body"/>
    <w:uiPriority w:val="99"/>
    <w:rsid w:val="005C5FC0"/>
    <w:pPr>
      <w:spacing w:before="90"/>
    </w:pPr>
  </w:style>
  <w:style w:type="paragraph" w:customStyle="1" w:styleId="SubheadBlue">
    <w:name w:val="Subhead Blue"/>
    <w:basedOn w:val="Normal"/>
    <w:uiPriority w:val="99"/>
    <w:rsid w:val="005C5FC0"/>
    <w:pPr>
      <w:autoSpaceDE w:val="0"/>
      <w:autoSpaceDN w:val="0"/>
      <w:adjustRightInd w:val="0"/>
      <w:spacing w:before="180" w:after="180" w:line="280" w:lineRule="atLeast"/>
      <w:textAlignment w:val="center"/>
    </w:pPr>
    <w:rPr>
      <w:rFonts w:ascii="Brandon Text Bold" w:hAnsi="Brandon Text Bold" w:cs="Brandon Text Bold"/>
      <w:b/>
      <w:bCs/>
      <w:color w:val="39AFFF"/>
      <w:sz w:val="26"/>
      <w:szCs w:val="26"/>
    </w:rPr>
  </w:style>
  <w:style w:type="paragraph" w:customStyle="1" w:styleId="Notes">
    <w:name w:val="Notes"/>
    <w:basedOn w:val="body"/>
    <w:uiPriority w:val="99"/>
    <w:rsid w:val="005C5FC0"/>
    <w:pPr>
      <w:spacing w:after="90"/>
      <w:ind w:left="360" w:hanging="360"/>
    </w:pPr>
    <w:rPr>
      <w:sz w:val="20"/>
      <w:szCs w:val="20"/>
    </w:rPr>
  </w:style>
  <w:style w:type="paragraph" w:styleId="Title">
    <w:name w:val="Title"/>
    <w:basedOn w:val="Normal"/>
    <w:link w:val="TitleChar"/>
    <w:uiPriority w:val="99"/>
    <w:qFormat/>
    <w:rsid w:val="005C5FC0"/>
    <w:pPr>
      <w:suppressAutoHyphens/>
      <w:autoSpaceDE w:val="0"/>
      <w:autoSpaceDN w:val="0"/>
      <w:adjustRightInd w:val="0"/>
      <w:spacing w:line="420" w:lineRule="atLeast"/>
      <w:textAlignment w:val="center"/>
    </w:pPr>
    <w:rPr>
      <w:rFonts w:ascii="Brandon Text Bold" w:hAnsi="Brandon Text Bold" w:cs="Brandon Text Bold"/>
      <w:b/>
      <w:bCs/>
      <w:color w:val="ED1C24"/>
      <w:sz w:val="36"/>
      <w:szCs w:val="36"/>
    </w:rPr>
  </w:style>
  <w:style w:type="character" w:customStyle="1" w:styleId="TitleChar">
    <w:name w:val="Title Char"/>
    <w:basedOn w:val="DefaultParagraphFont"/>
    <w:link w:val="Title"/>
    <w:uiPriority w:val="99"/>
    <w:rsid w:val="005C5FC0"/>
    <w:rPr>
      <w:rFonts w:ascii="Brandon Text Bold" w:hAnsi="Brandon Text Bold" w:cs="Brandon Text Bold"/>
      <w:b/>
      <w:bCs/>
      <w:color w:val="ED1C24"/>
      <w:sz w:val="36"/>
      <w:szCs w:val="36"/>
    </w:rPr>
  </w:style>
  <w:style w:type="table" w:customStyle="1" w:styleId="ListTable4-Accent11">
    <w:name w:val="List Table 4 - Accent 11"/>
    <w:basedOn w:val="TableNormal"/>
    <w:uiPriority w:val="49"/>
    <w:rsid w:val="000C433A"/>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4303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DF5"/>
    <w:rPr>
      <w:sz w:val="16"/>
      <w:szCs w:val="16"/>
    </w:rPr>
  </w:style>
  <w:style w:type="paragraph" w:styleId="CommentText">
    <w:name w:val="annotation text"/>
    <w:basedOn w:val="Normal"/>
    <w:link w:val="CommentTextChar"/>
    <w:uiPriority w:val="99"/>
    <w:unhideWhenUsed/>
    <w:rsid w:val="00554DF5"/>
    <w:pPr>
      <w:spacing w:after="160"/>
    </w:pPr>
    <w:rPr>
      <w:sz w:val="20"/>
      <w:szCs w:val="20"/>
    </w:rPr>
  </w:style>
  <w:style w:type="character" w:customStyle="1" w:styleId="CommentTextChar">
    <w:name w:val="Comment Text Char"/>
    <w:basedOn w:val="DefaultParagraphFont"/>
    <w:link w:val="CommentText"/>
    <w:uiPriority w:val="99"/>
    <w:rsid w:val="00554DF5"/>
    <w:rPr>
      <w:sz w:val="20"/>
      <w:szCs w:val="20"/>
    </w:rPr>
  </w:style>
  <w:style w:type="paragraph" w:styleId="BalloonText">
    <w:name w:val="Balloon Text"/>
    <w:basedOn w:val="Normal"/>
    <w:link w:val="BalloonTextChar"/>
    <w:uiPriority w:val="99"/>
    <w:semiHidden/>
    <w:unhideWhenUsed/>
    <w:rsid w:val="00554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4DF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97A59"/>
    <w:pPr>
      <w:spacing w:after="0"/>
    </w:pPr>
    <w:rPr>
      <w:b/>
      <w:bCs/>
    </w:rPr>
  </w:style>
  <w:style w:type="character" w:customStyle="1" w:styleId="CommentSubjectChar">
    <w:name w:val="Comment Subject Char"/>
    <w:basedOn w:val="CommentTextChar"/>
    <w:link w:val="CommentSubject"/>
    <w:uiPriority w:val="99"/>
    <w:semiHidden/>
    <w:rsid w:val="00697A59"/>
    <w:rPr>
      <w:b/>
      <w:bCs/>
      <w:sz w:val="20"/>
      <w:szCs w:val="20"/>
    </w:rPr>
  </w:style>
  <w:style w:type="character" w:styleId="Hyperlink">
    <w:name w:val="Hyperlink"/>
    <w:basedOn w:val="DefaultParagraphFont"/>
    <w:uiPriority w:val="99"/>
    <w:unhideWhenUsed/>
    <w:rsid w:val="00162160"/>
    <w:rPr>
      <w:color w:val="0000FF"/>
      <w:u w:val="single"/>
    </w:rPr>
  </w:style>
  <w:style w:type="paragraph" w:styleId="Caption">
    <w:name w:val="caption"/>
    <w:basedOn w:val="Normal"/>
    <w:next w:val="Normal"/>
    <w:uiPriority w:val="35"/>
    <w:unhideWhenUsed/>
    <w:qFormat/>
    <w:rsid w:val="00DB42A6"/>
    <w:pPr>
      <w:spacing w:after="200"/>
    </w:pPr>
    <w:rPr>
      <w:i/>
      <w:iCs/>
      <w:color w:val="44546A" w:themeColor="text2"/>
      <w:sz w:val="18"/>
      <w:szCs w:val="18"/>
    </w:rPr>
  </w:style>
  <w:style w:type="character" w:customStyle="1" w:styleId="s1">
    <w:name w:val="s1"/>
    <w:basedOn w:val="DefaultParagraphFont"/>
    <w:rsid w:val="003E3AD9"/>
  </w:style>
  <w:style w:type="character" w:styleId="UnresolvedMention">
    <w:name w:val="Unresolved Mention"/>
    <w:basedOn w:val="DefaultParagraphFont"/>
    <w:uiPriority w:val="99"/>
    <w:semiHidden/>
    <w:unhideWhenUsed/>
    <w:rsid w:val="009C64C8"/>
    <w:rPr>
      <w:color w:val="605E5C"/>
      <w:shd w:val="clear" w:color="auto" w:fill="E1DFDD"/>
    </w:rPr>
  </w:style>
  <w:style w:type="character" w:styleId="FollowedHyperlink">
    <w:name w:val="FollowedHyperlink"/>
    <w:basedOn w:val="DefaultParagraphFont"/>
    <w:uiPriority w:val="99"/>
    <w:semiHidden/>
    <w:unhideWhenUsed/>
    <w:rsid w:val="00DA2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3887">
      <w:bodyDiv w:val="1"/>
      <w:marLeft w:val="0"/>
      <w:marRight w:val="0"/>
      <w:marTop w:val="0"/>
      <w:marBottom w:val="0"/>
      <w:divBdr>
        <w:top w:val="none" w:sz="0" w:space="0" w:color="auto"/>
        <w:left w:val="none" w:sz="0" w:space="0" w:color="auto"/>
        <w:bottom w:val="none" w:sz="0" w:space="0" w:color="auto"/>
        <w:right w:val="none" w:sz="0" w:space="0" w:color="auto"/>
      </w:divBdr>
    </w:div>
    <w:div w:id="488253696">
      <w:bodyDiv w:val="1"/>
      <w:marLeft w:val="0"/>
      <w:marRight w:val="0"/>
      <w:marTop w:val="0"/>
      <w:marBottom w:val="0"/>
      <w:divBdr>
        <w:top w:val="none" w:sz="0" w:space="0" w:color="auto"/>
        <w:left w:val="none" w:sz="0" w:space="0" w:color="auto"/>
        <w:bottom w:val="none" w:sz="0" w:space="0" w:color="auto"/>
        <w:right w:val="none" w:sz="0" w:space="0" w:color="auto"/>
      </w:divBdr>
      <w:divsChild>
        <w:div w:id="413820656">
          <w:marLeft w:val="0"/>
          <w:marRight w:val="0"/>
          <w:marTop w:val="0"/>
          <w:marBottom w:val="0"/>
          <w:divBdr>
            <w:top w:val="none" w:sz="0" w:space="0" w:color="auto"/>
            <w:left w:val="none" w:sz="0" w:space="0" w:color="auto"/>
            <w:bottom w:val="none" w:sz="0" w:space="0" w:color="auto"/>
            <w:right w:val="none" w:sz="0" w:space="0" w:color="auto"/>
          </w:divBdr>
        </w:div>
      </w:divsChild>
    </w:div>
    <w:div w:id="528762457">
      <w:bodyDiv w:val="1"/>
      <w:marLeft w:val="0"/>
      <w:marRight w:val="0"/>
      <w:marTop w:val="0"/>
      <w:marBottom w:val="0"/>
      <w:divBdr>
        <w:top w:val="none" w:sz="0" w:space="0" w:color="auto"/>
        <w:left w:val="none" w:sz="0" w:space="0" w:color="auto"/>
        <w:bottom w:val="none" w:sz="0" w:space="0" w:color="auto"/>
        <w:right w:val="none" w:sz="0" w:space="0" w:color="auto"/>
      </w:divBdr>
    </w:div>
    <w:div w:id="12536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healthcarevaluehub.org/advocate-resources/publications/how-covid-19-has-shaped-residents-broader-attitudes-toward-health-system" TargetMode="Externa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www.census.gov/quickfacts/fact/table/GA/INC11021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altaruminstitute.sharepoint.com/sites/cvhcfiles/ValueHub/State%20Support/GA/CHESS%202021/GA_Affordabilit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ltaruminstitute.sharepoint.com/sites/cvhcfiles/ValueHub/State%20Support/GA/CHESS%202021/GA_Affordabilit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graphs!$B$1</c:f>
              <c:strCache>
                <c:ptCount val="1"/>
                <c:pt idx="0">
                  <c:v>Will Lose Health Coverage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graphs!$A$2:$A$5</c:f>
              <c:strCache>
                <c:ptCount val="4"/>
                <c:pt idx="0">
                  <c:v>Health insurance through my employer or a family member's employer</c:v>
                </c:pt>
                <c:pt idx="1">
                  <c:v>Health insurance that I buy on my own (not through my employer)</c:v>
                </c:pt>
                <c:pt idx="2">
                  <c:v>Medicare, coverage for seniors and those with serious disabilities</c:v>
                </c:pt>
                <c:pt idx="3">
                  <c:v>Georgia Medicaid, coverage for low income people*</c:v>
                </c:pt>
              </c:strCache>
            </c:strRef>
          </c:cat>
          <c:val>
            <c:numRef>
              <c:f>graphs!$B$2:$B$5</c:f>
              <c:numCache>
                <c:formatCode>0%</c:formatCode>
                <c:ptCount val="4"/>
                <c:pt idx="0">
                  <c:v>0.49</c:v>
                </c:pt>
                <c:pt idx="1">
                  <c:v>0.55000000000000004</c:v>
                </c:pt>
                <c:pt idx="2">
                  <c:v>0.33</c:v>
                </c:pt>
                <c:pt idx="3">
                  <c:v>0.63</c:v>
                </c:pt>
              </c:numCache>
            </c:numRef>
          </c:val>
          <c:extLst>
            <c:ext xmlns:c16="http://schemas.microsoft.com/office/drawing/2014/chart" uri="{C3380CC4-5D6E-409C-BE32-E72D297353CC}">
              <c16:uniqueId val="{00000000-CA72-4AD3-8BB7-C546C3DE67E8}"/>
            </c:ext>
          </c:extLst>
        </c:ser>
        <c:ser>
          <c:idx val="1"/>
          <c:order val="1"/>
          <c:tx>
            <c:strRef>
              <c:f>graphs!$C$1</c:f>
              <c:strCache>
                <c:ptCount val="1"/>
                <c:pt idx="0">
                  <c:v>Will Not Be Able to Afford Health Insurance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graphs!$A$2:$A$5</c:f>
              <c:strCache>
                <c:ptCount val="4"/>
                <c:pt idx="0">
                  <c:v>Health insurance through my employer or a family member's employer</c:v>
                </c:pt>
                <c:pt idx="1">
                  <c:v>Health insurance that I buy on my own (not through my employer)</c:v>
                </c:pt>
                <c:pt idx="2">
                  <c:v>Medicare, coverage for seniors and those with serious disabilities</c:v>
                </c:pt>
                <c:pt idx="3">
                  <c:v>Georgia Medicaid, coverage for low income people*</c:v>
                </c:pt>
              </c:strCache>
            </c:strRef>
          </c:cat>
          <c:val>
            <c:numRef>
              <c:f>graphs!$C$2:$C$5</c:f>
              <c:numCache>
                <c:formatCode>0%</c:formatCode>
                <c:ptCount val="4"/>
                <c:pt idx="0">
                  <c:v>0.69</c:v>
                </c:pt>
                <c:pt idx="1">
                  <c:v>0.61</c:v>
                </c:pt>
                <c:pt idx="2">
                  <c:v>0.55000000000000004</c:v>
                </c:pt>
                <c:pt idx="3">
                  <c:v>0.65</c:v>
                </c:pt>
              </c:numCache>
            </c:numRef>
          </c:val>
          <c:extLst>
            <c:ext xmlns:c16="http://schemas.microsoft.com/office/drawing/2014/chart" uri="{C3380CC4-5D6E-409C-BE32-E72D297353CC}">
              <c16:uniqueId val="{00000001-CA72-4AD3-8BB7-C546C3DE67E8}"/>
            </c:ext>
          </c:extLst>
        </c:ser>
        <c:dLbls>
          <c:dLblPos val="outEnd"/>
          <c:showLegendKey val="0"/>
          <c:showVal val="1"/>
          <c:showCatName val="0"/>
          <c:showSerName val="0"/>
          <c:showPercent val="0"/>
          <c:showBubbleSize val="0"/>
        </c:dLbls>
        <c:gapWidth val="219"/>
        <c:overlap val="-27"/>
        <c:axId val="452340672"/>
        <c:axId val="452341328"/>
      </c:barChart>
      <c:catAx>
        <c:axId val="45234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341328"/>
        <c:crosses val="autoZero"/>
        <c:auto val="1"/>
        <c:lblAlgn val="ctr"/>
        <c:lblOffset val="100"/>
        <c:noMultiLvlLbl val="0"/>
      </c:catAx>
      <c:valAx>
        <c:axId val="45234132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34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graphs!$A$10:$A$13</c:f>
              <c:strCache>
                <c:ptCount val="4"/>
                <c:pt idx="0">
                  <c:v>Less than $50k</c:v>
                </c:pt>
                <c:pt idx="1">
                  <c:v>$50k - $75k</c:v>
                </c:pt>
                <c:pt idx="2">
                  <c:v>$75,001 - $99,999</c:v>
                </c:pt>
                <c:pt idx="3">
                  <c:v>More than $100k</c:v>
                </c:pt>
              </c:strCache>
            </c:strRef>
          </c:cat>
          <c:val>
            <c:numRef>
              <c:f>graphs!$B$10:$B$13</c:f>
              <c:numCache>
                <c:formatCode>0%</c:formatCode>
                <c:ptCount val="4"/>
                <c:pt idx="0">
                  <c:v>0.77</c:v>
                </c:pt>
                <c:pt idx="1">
                  <c:v>0.71</c:v>
                </c:pt>
                <c:pt idx="2">
                  <c:v>0.55000000000000004</c:v>
                </c:pt>
                <c:pt idx="3">
                  <c:v>0.56000000000000005</c:v>
                </c:pt>
              </c:numCache>
            </c:numRef>
          </c:val>
          <c:extLst>
            <c:ext xmlns:c16="http://schemas.microsoft.com/office/drawing/2014/chart" uri="{C3380CC4-5D6E-409C-BE32-E72D297353CC}">
              <c16:uniqueId val="{00000000-F29B-44CD-B62A-B0ED5DC68025}"/>
            </c:ext>
          </c:extLst>
        </c:ser>
        <c:dLbls>
          <c:dLblPos val="outEnd"/>
          <c:showLegendKey val="0"/>
          <c:showVal val="1"/>
          <c:showCatName val="0"/>
          <c:showSerName val="0"/>
          <c:showPercent val="0"/>
          <c:showBubbleSize val="0"/>
        </c:dLbls>
        <c:gapWidth val="219"/>
        <c:overlap val="-27"/>
        <c:axId val="450499560"/>
        <c:axId val="450498576"/>
      </c:barChart>
      <c:catAx>
        <c:axId val="45049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498576"/>
        <c:crosses val="autoZero"/>
        <c:auto val="1"/>
        <c:lblAlgn val="ctr"/>
        <c:lblOffset val="100"/>
        <c:noMultiLvlLbl val="0"/>
      </c:catAx>
      <c:valAx>
        <c:axId val="450498576"/>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49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50EA0B5DE064ABEF58D71EF0BEA7E" ma:contentTypeVersion="12" ma:contentTypeDescription="Create a new document." ma:contentTypeScope="" ma:versionID="153d08895fa669a545c7e14e42ba1ec2">
  <xsd:schema xmlns:xsd="http://www.w3.org/2001/XMLSchema" xmlns:xs="http://www.w3.org/2001/XMLSchema" xmlns:p="http://schemas.microsoft.com/office/2006/metadata/properties" xmlns:ns2="9f42b4ef-9811-4164-a751-2e3293dce538" xmlns:ns3="82d97531-b6a7-46b9-9b2f-b0c75ed1f954" targetNamespace="http://schemas.microsoft.com/office/2006/metadata/properties" ma:root="true" ma:fieldsID="724bd1763dd05d8a740b9f93737f3615" ns2:_="" ns3:_="">
    <xsd:import namespace="9f42b4ef-9811-4164-a751-2e3293dce538"/>
    <xsd:import namespace="82d97531-b6a7-46b9-9b2f-b0c75ed1f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2b4ef-9811-4164-a751-2e3293dce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97531-b6a7-46b9-9b2f-b0c75ed1f9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d97531-b6a7-46b9-9b2f-b0c75ed1f954">
      <UserInfo>
        <DisplayName>Sabah Bhatnagar</DisplayName>
        <AccountId>2164</AccountId>
        <AccountType/>
      </UserInfo>
      <UserInfo>
        <DisplayName>Amanda Hunt</DisplayName>
        <AccountId>1990</AccountId>
        <AccountType/>
      </UserInfo>
      <UserInfo>
        <DisplayName>Elise Lowry</DisplayName>
        <AccountId>2407</AccountId>
        <AccountType/>
      </UserInfo>
    </SharedWithUsers>
  </documentManagement>
</p:properties>
</file>

<file path=customXml/itemProps1.xml><?xml version="1.0" encoding="utf-8"?>
<ds:datastoreItem xmlns:ds="http://schemas.openxmlformats.org/officeDocument/2006/customXml" ds:itemID="{D70F99CB-E1C0-418B-8F50-8B2E2B5E2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2b4ef-9811-4164-a751-2e3293dce538"/>
    <ds:schemaRef ds:uri="82d97531-b6a7-46b9-9b2f-b0c75ed1f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FF81D-9FBD-4303-9E0A-4A36FF64ABA6}">
  <ds:schemaRefs>
    <ds:schemaRef ds:uri="http://schemas.microsoft.com/sharepoint/v3/contenttype/forms"/>
  </ds:schemaRefs>
</ds:datastoreItem>
</file>

<file path=customXml/itemProps3.xml><?xml version="1.0" encoding="utf-8"?>
<ds:datastoreItem xmlns:ds="http://schemas.openxmlformats.org/officeDocument/2006/customXml" ds:itemID="{FB36BC27-76B7-4E56-9BAE-A802285B1767}">
  <ds:schemaRefs>
    <ds:schemaRef ds:uri="http://schemas.microsoft.com/office/2006/metadata/properties"/>
    <ds:schemaRef ds:uri="http://schemas.microsoft.com/office/infopath/2007/PartnerControls"/>
    <ds:schemaRef ds:uri="82d97531-b6a7-46b9-9b2f-b0c75ed1f954"/>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12</Pages>
  <Words>3195</Words>
  <Characters>18215</Characters>
  <Application>Microsoft Office Word</Application>
  <DocSecurity>0</DocSecurity>
  <Lines>151</Lines>
  <Paragraphs>42</Paragraphs>
  <ScaleCrop>false</ScaleCrop>
  <Company/>
  <LinksUpToDate>false</LinksUpToDate>
  <CharactersWithSpaces>21368</CharactersWithSpaces>
  <SharedDoc>false</SharedDoc>
  <HLinks>
    <vt:vector size="12" baseType="variant">
      <vt:variant>
        <vt:i4>6291553</vt:i4>
      </vt:variant>
      <vt:variant>
        <vt:i4>3</vt:i4>
      </vt:variant>
      <vt:variant>
        <vt:i4>0</vt:i4>
      </vt:variant>
      <vt:variant>
        <vt:i4>5</vt:i4>
      </vt:variant>
      <vt:variant>
        <vt:lpwstr>https://healthcarevaluehub.org/advocate-resources/publications/how-covid-19-has-shaped-residents-broader-attitudes-toward-health-system</vt:lpwstr>
      </vt:variant>
      <vt:variant>
        <vt:lpwstr/>
      </vt:variant>
      <vt:variant>
        <vt:i4>327766</vt:i4>
      </vt:variant>
      <vt:variant>
        <vt:i4>0</vt:i4>
      </vt:variant>
      <vt:variant>
        <vt:i4>0</vt:i4>
      </vt:variant>
      <vt:variant>
        <vt:i4>5</vt:i4>
      </vt:variant>
      <vt:variant>
        <vt:lpwstr>https://www.census.gov/quickfacts/fact/table/GA/INC110219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Lee</dc:creator>
  <cp:keywords/>
  <dc:description/>
  <cp:lastModifiedBy>Elise Lowry</cp:lastModifiedBy>
  <cp:revision>152</cp:revision>
  <dcterms:created xsi:type="dcterms:W3CDTF">2021-05-27T15:48:00Z</dcterms:created>
  <dcterms:modified xsi:type="dcterms:W3CDTF">2021-06-15T18:40:00Z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0x010100C9350EA0B5DE064ABEF58D71EF0BEA7E</vt:lpwstr>
  </property>
</Properties>
</file>