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0316E" w14:textId="77777777" w:rsidR="004310A0" w:rsidRPr="0053512A" w:rsidRDefault="004310A0" w:rsidP="00BD370E">
      <w:pPr>
        <w:spacing w:line="240" w:lineRule="auto"/>
        <w:rPr>
          <w:rFonts w:ascii="Arial" w:hAnsi="Arial" w:cs="Arial"/>
          <w:sz w:val="24"/>
          <w:szCs w:val="24"/>
        </w:rPr>
      </w:pPr>
    </w:p>
    <w:tbl>
      <w:tblPr>
        <w:tblW w:w="0" w:type="auto"/>
        <w:tblLook w:val="00A0" w:firstRow="1" w:lastRow="0" w:firstColumn="1" w:lastColumn="0" w:noHBand="0" w:noVBand="0"/>
      </w:tblPr>
      <w:tblGrid>
        <w:gridCol w:w="4788"/>
        <w:gridCol w:w="4788"/>
      </w:tblGrid>
      <w:tr w:rsidR="004310A0" w:rsidRPr="0053512A" w14:paraId="6DDA44D1" w14:textId="77777777" w:rsidTr="00A51C93">
        <w:tc>
          <w:tcPr>
            <w:tcW w:w="4788" w:type="dxa"/>
          </w:tcPr>
          <w:p w14:paraId="02950F8C" w14:textId="77777777" w:rsidR="004310A0" w:rsidRPr="0053512A" w:rsidRDefault="004310A0" w:rsidP="00A51C93">
            <w:pPr>
              <w:spacing w:after="0" w:line="240" w:lineRule="auto"/>
              <w:rPr>
                <w:rFonts w:ascii="Arial" w:hAnsi="Arial" w:cs="Arial"/>
                <w:sz w:val="24"/>
                <w:szCs w:val="24"/>
              </w:rPr>
            </w:pPr>
            <w:r w:rsidRPr="0053512A">
              <w:rPr>
                <w:rFonts w:ascii="Arial" w:hAnsi="Arial" w:cs="Arial"/>
                <w:b/>
                <w:sz w:val="24"/>
                <w:szCs w:val="24"/>
              </w:rPr>
              <w:t>NEWS RELEASE</w:t>
            </w:r>
          </w:p>
          <w:p w14:paraId="2B822562" w14:textId="77777777" w:rsidR="004310A0" w:rsidRPr="0053512A" w:rsidRDefault="004310A0" w:rsidP="00A51C93">
            <w:pPr>
              <w:spacing w:after="0" w:line="240" w:lineRule="auto"/>
              <w:rPr>
                <w:rFonts w:ascii="Arial" w:hAnsi="Arial" w:cs="Arial"/>
                <w:sz w:val="24"/>
                <w:szCs w:val="24"/>
              </w:rPr>
            </w:pPr>
            <w:r w:rsidRPr="0053512A">
              <w:rPr>
                <w:rFonts w:ascii="Arial" w:hAnsi="Arial" w:cs="Arial"/>
                <w:sz w:val="24"/>
                <w:szCs w:val="24"/>
              </w:rPr>
              <w:t xml:space="preserve">Embargoed for release: </w:t>
            </w:r>
          </w:p>
          <w:p w14:paraId="3AE0EAEF" w14:textId="77777777" w:rsidR="004310A0" w:rsidRPr="0053512A" w:rsidRDefault="005425E5" w:rsidP="007E716F">
            <w:pPr>
              <w:spacing w:after="0" w:line="240" w:lineRule="auto"/>
              <w:rPr>
                <w:rFonts w:ascii="Arial" w:hAnsi="Arial" w:cs="Arial"/>
                <w:sz w:val="24"/>
                <w:szCs w:val="24"/>
              </w:rPr>
            </w:pPr>
            <w:r>
              <w:rPr>
                <w:rFonts w:ascii="Arial" w:hAnsi="Arial" w:cs="Arial"/>
                <w:sz w:val="24"/>
                <w:szCs w:val="24"/>
              </w:rPr>
              <w:t>March</w:t>
            </w:r>
            <w:r w:rsidR="00C43BAC" w:rsidRPr="0053512A">
              <w:rPr>
                <w:rFonts w:ascii="Arial" w:hAnsi="Arial" w:cs="Arial"/>
                <w:sz w:val="24"/>
                <w:szCs w:val="24"/>
              </w:rPr>
              <w:t xml:space="preserve"> </w:t>
            </w:r>
            <w:r>
              <w:rPr>
                <w:rFonts w:ascii="Arial" w:hAnsi="Arial" w:cs="Arial"/>
                <w:sz w:val="24"/>
                <w:szCs w:val="24"/>
              </w:rPr>
              <w:t>23, 2018</w:t>
            </w:r>
            <w:r w:rsidR="00801310" w:rsidRPr="0053512A">
              <w:rPr>
                <w:rFonts w:ascii="Arial" w:hAnsi="Arial" w:cs="Arial"/>
                <w:sz w:val="24"/>
                <w:szCs w:val="24"/>
              </w:rPr>
              <w:t xml:space="preserve"> – 12:01</w:t>
            </w:r>
            <w:r w:rsidR="007E716F" w:rsidRPr="0053512A">
              <w:rPr>
                <w:rFonts w:ascii="Arial" w:hAnsi="Arial" w:cs="Arial"/>
                <w:sz w:val="24"/>
                <w:szCs w:val="24"/>
              </w:rPr>
              <w:t>am ET</w:t>
            </w:r>
          </w:p>
        </w:tc>
        <w:tc>
          <w:tcPr>
            <w:tcW w:w="4788" w:type="dxa"/>
          </w:tcPr>
          <w:p w14:paraId="61A1A47F" w14:textId="77777777" w:rsidR="004310A0" w:rsidRPr="005514A7" w:rsidRDefault="004310A0" w:rsidP="0053512A">
            <w:pPr>
              <w:tabs>
                <w:tab w:val="left" w:pos="5278"/>
              </w:tabs>
              <w:spacing w:after="0" w:line="240" w:lineRule="auto"/>
              <w:ind w:left="720"/>
              <w:rPr>
                <w:rFonts w:ascii="Arial" w:hAnsi="Arial" w:cs="Arial"/>
                <w:sz w:val="24"/>
                <w:szCs w:val="24"/>
              </w:rPr>
            </w:pPr>
            <w:r w:rsidRPr="005514A7">
              <w:rPr>
                <w:rFonts w:ascii="Arial" w:hAnsi="Arial" w:cs="Arial"/>
                <w:sz w:val="24"/>
                <w:szCs w:val="24"/>
              </w:rPr>
              <w:t>For further information, contact:</w:t>
            </w:r>
          </w:p>
          <w:p w14:paraId="11307588" w14:textId="77777777" w:rsidR="004310A0" w:rsidRPr="005514A7" w:rsidRDefault="00484BFD" w:rsidP="0053512A">
            <w:pPr>
              <w:tabs>
                <w:tab w:val="left" w:pos="5278"/>
              </w:tabs>
              <w:spacing w:after="0" w:line="240" w:lineRule="auto"/>
              <w:ind w:left="720"/>
              <w:rPr>
                <w:rFonts w:ascii="Arial" w:hAnsi="Arial" w:cs="Arial"/>
                <w:sz w:val="24"/>
                <w:szCs w:val="24"/>
              </w:rPr>
            </w:pPr>
            <w:r w:rsidRPr="005514A7">
              <w:rPr>
                <w:rFonts w:ascii="Arial" w:hAnsi="Arial" w:cs="Arial"/>
                <w:sz w:val="24"/>
                <w:szCs w:val="24"/>
              </w:rPr>
              <w:t>Katie Keith</w:t>
            </w:r>
            <w:r w:rsidR="004310A0" w:rsidRPr="005514A7">
              <w:rPr>
                <w:rFonts w:ascii="Arial" w:hAnsi="Arial" w:cs="Arial"/>
                <w:sz w:val="24"/>
                <w:szCs w:val="24"/>
              </w:rPr>
              <w:t>: (</w:t>
            </w:r>
            <w:r w:rsidRPr="005514A7">
              <w:rPr>
                <w:rFonts w:ascii="Arial" w:hAnsi="Arial" w:cs="Arial"/>
                <w:sz w:val="24"/>
                <w:szCs w:val="24"/>
              </w:rPr>
              <w:t>702</w:t>
            </w:r>
            <w:r w:rsidR="004310A0" w:rsidRPr="005514A7">
              <w:rPr>
                <w:rFonts w:ascii="Arial" w:hAnsi="Arial" w:cs="Arial"/>
                <w:sz w:val="24"/>
                <w:szCs w:val="24"/>
              </w:rPr>
              <w:t xml:space="preserve">) </w:t>
            </w:r>
            <w:r w:rsidR="007E716F" w:rsidRPr="005514A7">
              <w:rPr>
                <w:rFonts w:ascii="Arial" w:hAnsi="Arial" w:cs="Arial"/>
                <w:sz w:val="24"/>
                <w:szCs w:val="24"/>
              </w:rPr>
              <w:t>5</w:t>
            </w:r>
            <w:r w:rsidRPr="005514A7">
              <w:rPr>
                <w:rFonts w:ascii="Arial" w:hAnsi="Arial" w:cs="Arial"/>
                <w:sz w:val="24"/>
                <w:szCs w:val="24"/>
              </w:rPr>
              <w:t>40</w:t>
            </w:r>
            <w:r w:rsidR="004310A0" w:rsidRPr="005514A7">
              <w:rPr>
                <w:rFonts w:ascii="Arial" w:hAnsi="Arial" w:cs="Arial"/>
                <w:sz w:val="24"/>
                <w:szCs w:val="24"/>
              </w:rPr>
              <w:t>-</w:t>
            </w:r>
            <w:r w:rsidRPr="005514A7">
              <w:rPr>
                <w:rFonts w:ascii="Arial" w:hAnsi="Arial" w:cs="Arial"/>
                <w:sz w:val="24"/>
                <w:szCs w:val="24"/>
              </w:rPr>
              <w:t>6398</w:t>
            </w:r>
          </w:p>
          <w:p w14:paraId="0B198A46" w14:textId="68BF7305" w:rsidR="003520CC" w:rsidRPr="005514A7" w:rsidRDefault="005425E5" w:rsidP="0053512A">
            <w:pPr>
              <w:tabs>
                <w:tab w:val="left" w:pos="5278"/>
              </w:tabs>
              <w:spacing w:after="0" w:line="240" w:lineRule="auto"/>
              <w:ind w:left="720"/>
              <w:rPr>
                <w:rFonts w:ascii="Arial" w:hAnsi="Arial" w:cs="Arial"/>
                <w:sz w:val="24"/>
                <w:szCs w:val="24"/>
              </w:rPr>
            </w:pPr>
            <w:r w:rsidRPr="005514A7">
              <w:rPr>
                <w:rFonts w:ascii="Arial" w:hAnsi="Arial" w:cs="Arial"/>
                <w:sz w:val="24"/>
                <w:szCs w:val="24"/>
              </w:rPr>
              <w:t>Sarah Lueck</w:t>
            </w:r>
            <w:r w:rsidR="003520CC" w:rsidRPr="005514A7">
              <w:rPr>
                <w:rFonts w:ascii="Arial" w:hAnsi="Arial" w:cs="Arial"/>
                <w:sz w:val="24"/>
                <w:szCs w:val="24"/>
              </w:rPr>
              <w:t xml:space="preserve">: </w:t>
            </w:r>
            <w:r w:rsidR="00A23E79">
              <w:rPr>
                <w:rFonts w:ascii="Arial" w:hAnsi="Arial" w:cs="Arial"/>
                <w:sz w:val="24"/>
                <w:szCs w:val="24"/>
              </w:rPr>
              <w:t>lueck@cbpp.org</w:t>
            </w:r>
          </w:p>
        </w:tc>
      </w:tr>
    </w:tbl>
    <w:p w14:paraId="698EF844" w14:textId="6CBAA704" w:rsidR="004310A0" w:rsidRPr="0053512A" w:rsidRDefault="004310A0" w:rsidP="00190EC4">
      <w:pPr>
        <w:spacing w:line="240" w:lineRule="auto"/>
        <w:jc w:val="center"/>
        <w:rPr>
          <w:rFonts w:ascii="Arial" w:hAnsi="Arial" w:cs="Arial"/>
          <w:b/>
          <w:sz w:val="24"/>
          <w:szCs w:val="24"/>
        </w:rPr>
      </w:pPr>
      <w:r w:rsidRPr="0053512A">
        <w:rPr>
          <w:rFonts w:ascii="Arial" w:hAnsi="Arial" w:cs="Arial"/>
          <w:b/>
          <w:sz w:val="24"/>
          <w:szCs w:val="24"/>
        </w:rPr>
        <w:br/>
      </w:r>
      <w:r w:rsidR="004F31E9">
        <w:rPr>
          <w:rFonts w:ascii="Arial" w:hAnsi="Arial" w:cs="Arial"/>
          <w:b/>
          <w:sz w:val="24"/>
          <w:szCs w:val="24"/>
        </w:rPr>
        <w:t xml:space="preserve">REPORT BY FORMER STATE REGULATOR DETAILS DAMAGE OF </w:t>
      </w:r>
      <w:r w:rsidR="00965EF2">
        <w:rPr>
          <w:rFonts w:ascii="Arial" w:hAnsi="Arial" w:cs="Arial"/>
          <w:b/>
          <w:sz w:val="24"/>
          <w:szCs w:val="24"/>
        </w:rPr>
        <w:t xml:space="preserve">HEALTH PLANS THAT </w:t>
      </w:r>
      <w:r w:rsidR="00335936">
        <w:rPr>
          <w:rFonts w:ascii="Arial" w:hAnsi="Arial" w:cs="Arial"/>
          <w:b/>
          <w:sz w:val="24"/>
          <w:szCs w:val="24"/>
        </w:rPr>
        <w:t>DON’T</w:t>
      </w:r>
      <w:r w:rsidR="00965EF2">
        <w:rPr>
          <w:rFonts w:ascii="Arial" w:hAnsi="Arial" w:cs="Arial"/>
          <w:b/>
          <w:sz w:val="24"/>
          <w:szCs w:val="24"/>
        </w:rPr>
        <w:t xml:space="preserve"> MEET</w:t>
      </w:r>
      <w:r w:rsidR="007D1383">
        <w:rPr>
          <w:rFonts w:ascii="Arial" w:hAnsi="Arial" w:cs="Arial"/>
          <w:b/>
          <w:sz w:val="24"/>
          <w:szCs w:val="24"/>
        </w:rPr>
        <w:t xml:space="preserve"> AFFORDABLE CARE ACT STANDARDS</w:t>
      </w:r>
      <w:r w:rsidR="004F31E9">
        <w:rPr>
          <w:rFonts w:ascii="Arial" w:hAnsi="Arial" w:cs="Arial"/>
          <w:b/>
          <w:sz w:val="24"/>
          <w:szCs w:val="24"/>
        </w:rPr>
        <w:t xml:space="preserve">; </w:t>
      </w:r>
      <w:r w:rsidR="002C5C26">
        <w:rPr>
          <w:rFonts w:ascii="Arial" w:hAnsi="Arial" w:cs="Arial"/>
          <w:b/>
          <w:sz w:val="24"/>
          <w:szCs w:val="24"/>
        </w:rPr>
        <w:t>EMPHASIZES NEED FOR</w:t>
      </w:r>
      <w:r w:rsidR="00035B36">
        <w:rPr>
          <w:rFonts w:ascii="Arial" w:hAnsi="Arial" w:cs="Arial"/>
          <w:b/>
          <w:sz w:val="24"/>
          <w:szCs w:val="24"/>
        </w:rPr>
        <w:t xml:space="preserve"> </w:t>
      </w:r>
      <w:r w:rsidR="004F31E9">
        <w:rPr>
          <w:rFonts w:ascii="Arial" w:hAnsi="Arial" w:cs="Arial"/>
          <w:b/>
          <w:sz w:val="24"/>
          <w:szCs w:val="24"/>
        </w:rPr>
        <w:t xml:space="preserve">STATE </w:t>
      </w:r>
      <w:r w:rsidR="00542E56">
        <w:rPr>
          <w:rFonts w:ascii="Arial" w:hAnsi="Arial" w:cs="Arial"/>
          <w:b/>
          <w:sz w:val="24"/>
          <w:szCs w:val="24"/>
        </w:rPr>
        <w:t>OVERSIGHT</w:t>
      </w:r>
    </w:p>
    <w:p w14:paraId="2CD729BD" w14:textId="117DA461" w:rsidR="00F13FE0" w:rsidRPr="00F8340F" w:rsidRDefault="00F13FE0" w:rsidP="00F13FE0">
      <w:pPr>
        <w:spacing w:line="240" w:lineRule="auto"/>
        <w:jc w:val="center"/>
        <w:rPr>
          <w:rFonts w:ascii="Arial" w:hAnsi="Arial" w:cs="Arial"/>
          <w:i/>
          <w:sz w:val="24"/>
          <w:szCs w:val="24"/>
        </w:rPr>
      </w:pPr>
      <w:r w:rsidRPr="00F8340F">
        <w:rPr>
          <w:rFonts w:ascii="Arial" w:hAnsi="Arial" w:cs="Arial"/>
          <w:i/>
          <w:sz w:val="24"/>
          <w:szCs w:val="24"/>
        </w:rPr>
        <w:t>N</w:t>
      </w:r>
      <w:r w:rsidR="00C22C03">
        <w:rPr>
          <w:rFonts w:ascii="Arial" w:hAnsi="Arial" w:cs="Arial"/>
          <w:i/>
          <w:sz w:val="24"/>
          <w:szCs w:val="24"/>
        </w:rPr>
        <w:t>AIC Consumer Representatives Release Expert Report</w:t>
      </w:r>
      <w:r w:rsidR="004F31E9">
        <w:rPr>
          <w:rFonts w:ascii="Arial" w:hAnsi="Arial" w:cs="Arial"/>
          <w:i/>
          <w:sz w:val="24"/>
          <w:szCs w:val="24"/>
        </w:rPr>
        <w:t xml:space="preserve"> in Wake of Proposed Regulations Allowing Non-ACA Compliant Plans</w:t>
      </w:r>
      <w:r w:rsidR="00C22C03">
        <w:rPr>
          <w:rFonts w:ascii="Arial" w:hAnsi="Arial" w:cs="Arial"/>
          <w:i/>
          <w:sz w:val="24"/>
          <w:szCs w:val="24"/>
        </w:rPr>
        <w:t xml:space="preserve"> </w:t>
      </w:r>
    </w:p>
    <w:p w14:paraId="5568F3C0" w14:textId="1C17E4CC" w:rsidR="00114020" w:rsidRDefault="005425E5" w:rsidP="00DF4359">
      <w:pPr>
        <w:spacing w:after="160" w:line="240" w:lineRule="auto"/>
        <w:rPr>
          <w:rFonts w:ascii="Arial" w:hAnsi="Arial" w:cs="Arial"/>
        </w:rPr>
      </w:pPr>
      <w:r w:rsidRPr="00B67CFA">
        <w:rPr>
          <w:rFonts w:ascii="Arial" w:hAnsi="Arial" w:cs="Arial"/>
        </w:rPr>
        <w:t>MILWAUKEE</w:t>
      </w:r>
      <w:r w:rsidR="00801310" w:rsidRPr="00B67CFA">
        <w:rPr>
          <w:rFonts w:ascii="Arial" w:hAnsi="Arial" w:cs="Arial"/>
        </w:rPr>
        <w:t xml:space="preserve">, </w:t>
      </w:r>
      <w:r w:rsidRPr="00B67CFA">
        <w:rPr>
          <w:rFonts w:ascii="Arial" w:hAnsi="Arial" w:cs="Arial"/>
        </w:rPr>
        <w:t>WI</w:t>
      </w:r>
      <w:r w:rsidR="004310A0" w:rsidRPr="00B67CFA">
        <w:rPr>
          <w:rFonts w:ascii="Arial" w:hAnsi="Arial" w:cs="Arial"/>
        </w:rPr>
        <w:t xml:space="preserve"> – </w:t>
      </w:r>
      <w:r w:rsidR="008E3B62" w:rsidRPr="00B67CFA">
        <w:rPr>
          <w:rFonts w:ascii="Arial" w:hAnsi="Arial" w:cs="Arial"/>
        </w:rPr>
        <w:t xml:space="preserve">On March 23, 2018, </w:t>
      </w:r>
      <w:r w:rsidR="00193AF6" w:rsidRPr="00B67CFA">
        <w:rPr>
          <w:rFonts w:ascii="Arial" w:hAnsi="Arial" w:cs="Arial"/>
        </w:rPr>
        <w:t xml:space="preserve">a group of consumer representatives to the National Association of Insurance Commissioners (NAIC) released a new </w:t>
      </w:r>
      <w:r w:rsidR="00E27227">
        <w:rPr>
          <w:rFonts w:ascii="Arial" w:hAnsi="Arial" w:cs="Arial"/>
        </w:rPr>
        <w:t>report</w:t>
      </w:r>
      <w:r w:rsidR="00193AF6" w:rsidRPr="00B67CFA">
        <w:rPr>
          <w:rFonts w:ascii="Arial" w:hAnsi="Arial" w:cs="Arial"/>
        </w:rPr>
        <w:t xml:space="preserve"> on the risks </w:t>
      </w:r>
      <w:r w:rsidR="00E37EB3">
        <w:rPr>
          <w:rFonts w:ascii="Arial" w:hAnsi="Arial" w:cs="Arial"/>
        </w:rPr>
        <w:t>of</w:t>
      </w:r>
      <w:r w:rsidR="00193AF6" w:rsidRPr="00B67CFA">
        <w:rPr>
          <w:rFonts w:ascii="Arial" w:hAnsi="Arial" w:cs="Arial"/>
        </w:rPr>
        <w:t xml:space="preserve"> health </w:t>
      </w:r>
      <w:r w:rsidR="00A23E79">
        <w:rPr>
          <w:rFonts w:ascii="Arial" w:hAnsi="Arial" w:cs="Arial"/>
        </w:rPr>
        <w:t>coverage</w:t>
      </w:r>
      <w:r w:rsidR="00A23E79" w:rsidRPr="00B67CFA">
        <w:rPr>
          <w:rFonts w:ascii="Arial" w:hAnsi="Arial" w:cs="Arial"/>
        </w:rPr>
        <w:t xml:space="preserve"> </w:t>
      </w:r>
      <w:r w:rsidR="00193AF6" w:rsidRPr="00B67CFA">
        <w:rPr>
          <w:rFonts w:ascii="Arial" w:hAnsi="Arial" w:cs="Arial"/>
        </w:rPr>
        <w:t>that does not comply with the Afford</w:t>
      </w:r>
      <w:bookmarkStart w:id="0" w:name="_GoBack"/>
      <w:bookmarkEnd w:id="0"/>
      <w:r w:rsidR="00193AF6" w:rsidRPr="00B67CFA">
        <w:rPr>
          <w:rFonts w:ascii="Arial" w:hAnsi="Arial" w:cs="Arial"/>
        </w:rPr>
        <w:t>able Care Act’s consum</w:t>
      </w:r>
      <w:r w:rsidR="00193AF6" w:rsidRPr="00147999">
        <w:rPr>
          <w:rFonts w:ascii="Arial" w:hAnsi="Arial" w:cs="Arial"/>
        </w:rPr>
        <w:t xml:space="preserve">er protections. </w:t>
      </w:r>
    </w:p>
    <w:p w14:paraId="365C0084" w14:textId="0F20AEA1" w:rsidR="00193AF6" w:rsidRPr="00147999" w:rsidRDefault="00A23E79" w:rsidP="00DF4359">
      <w:pPr>
        <w:spacing w:after="160" w:line="240" w:lineRule="auto"/>
        <w:rPr>
          <w:rFonts w:ascii="Arial" w:hAnsi="Arial" w:cs="Arial"/>
        </w:rPr>
      </w:pPr>
      <w:r>
        <w:rPr>
          <w:rFonts w:ascii="Arial" w:hAnsi="Arial" w:cs="Arial"/>
        </w:rPr>
        <w:t>The</w:t>
      </w:r>
      <w:r w:rsidR="00B67CFA" w:rsidRPr="00147999">
        <w:rPr>
          <w:rFonts w:ascii="Arial" w:hAnsi="Arial" w:cs="Arial"/>
        </w:rPr>
        <w:t xml:space="preserve"> report discusses </w:t>
      </w:r>
      <w:r w:rsidR="00C77FC3">
        <w:rPr>
          <w:rFonts w:ascii="Arial" w:hAnsi="Arial" w:cs="Arial"/>
        </w:rPr>
        <w:t>concerns about</w:t>
      </w:r>
      <w:r w:rsidR="00B67CFA" w:rsidRPr="00147999">
        <w:rPr>
          <w:rFonts w:ascii="Arial" w:hAnsi="Arial" w:cs="Arial"/>
        </w:rPr>
        <w:t xml:space="preserve"> association health plans</w:t>
      </w:r>
      <w:r>
        <w:rPr>
          <w:rFonts w:ascii="Arial" w:hAnsi="Arial" w:cs="Arial"/>
        </w:rPr>
        <w:t xml:space="preserve"> and </w:t>
      </w:r>
      <w:r w:rsidR="00B67CFA" w:rsidRPr="00147999">
        <w:rPr>
          <w:rFonts w:ascii="Arial" w:hAnsi="Arial" w:cs="Arial"/>
        </w:rPr>
        <w:t>short-term plans</w:t>
      </w:r>
      <w:r>
        <w:rPr>
          <w:rFonts w:ascii="Arial" w:hAnsi="Arial" w:cs="Arial"/>
        </w:rPr>
        <w:t>–both of which would expand under recently proposed federal rules–as well as</w:t>
      </w:r>
      <w:r w:rsidR="00B67CFA" w:rsidRPr="00147999">
        <w:rPr>
          <w:rFonts w:ascii="Arial" w:hAnsi="Arial" w:cs="Arial"/>
        </w:rPr>
        <w:t xml:space="preserve"> health care sharing ministries and transitional plans</w:t>
      </w:r>
      <w:r>
        <w:rPr>
          <w:rFonts w:ascii="Arial" w:hAnsi="Arial" w:cs="Arial"/>
        </w:rPr>
        <w:t>. Oversight by state insurance departments is critical to protecting consumers and states’ markets</w:t>
      </w:r>
      <w:r w:rsidR="004F31E9">
        <w:rPr>
          <w:rFonts w:ascii="Arial" w:hAnsi="Arial" w:cs="Arial"/>
        </w:rPr>
        <w:t xml:space="preserve"> from the fallout these plans can cause</w:t>
      </w:r>
      <w:r>
        <w:rPr>
          <w:rFonts w:ascii="Arial" w:hAnsi="Arial" w:cs="Arial"/>
        </w:rPr>
        <w:t xml:space="preserve">, </w:t>
      </w:r>
      <w:r w:rsidR="00F8340F">
        <w:rPr>
          <w:rFonts w:ascii="Arial" w:hAnsi="Arial" w:cs="Arial"/>
        </w:rPr>
        <w:t>particularly given repeal of the individual ma</w:t>
      </w:r>
      <w:r w:rsidR="00E27227">
        <w:rPr>
          <w:rFonts w:ascii="Arial" w:hAnsi="Arial" w:cs="Arial"/>
        </w:rPr>
        <w:t xml:space="preserve">ndate penalty beginning in 2019, which </w:t>
      </w:r>
      <w:r w:rsidR="00114020">
        <w:rPr>
          <w:rFonts w:ascii="Arial" w:hAnsi="Arial" w:cs="Arial"/>
        </w:rPr>
        <w:t>will</w:t>
      </w:r>
      <w:r w:rsidR="00E27227">
        <w:rPr>
          <w:rFonts w:ascii="Arial" w:hAnsi="Arial" w:cs="Arial"/>
        </w:rPr>
        <w:t xml:space="preserve"> contribute to higher premiums and market instability.</w:t>
      </w:r>
    </w:p>
    <w:p w14:paraId="028C93C9" w14:textId="77777777" w:rsidR="00147999" w:rsidRPr="00F8340F" w:rsidRDefault="003434FE" w:rsidP="00193AF6">
      <w:pPr>
        <w:spacing w:after="160" w:line="240" w:lineRule="auto"/>
        <w:rPr>
          <w:rFonts w:ascii="Arial" w:hAnsi="Arial" w:cs="Arial"/>
        </w:rPr>
      </w:pPr>
      <w:r w:rsidRPr="00147999">
        <w:rPr>
          <w:rFonts w:ascii="Arial" w:hAnsi="Arial" w:cs="Arial"/>
        </w:rPr>
        <w:t xml:space="preserve">The report, </w:t>
      </w:r>
      <w:r w:rsidR="00092053" w:rsidRPr="00114020">
        <w:rPr>
          <w:rFonts w:ascii="Arial" w:hAnsi="Arial" w:cs="Arial"/>
          <w:b/>
          <w:i/>
        </w:rPr>
        <w:t>Non-ACA-Compliant Plans and the Risk of Market Segmentation: Considerations for State Insurance Regulators</w:t>
      </w:r>
      <w:r w:rsidRPr="00F8340F">
        <w:rPr>
          <w:rFonts w:ascii="Arial" w:hAnsi="Arial" w:cs="Arial"/>
        </w:rPr>
        <w:t xml:space="preserve">, </w:t>
      </w:r>
      <w:r w:rsidR="00092053" w:rsidRPr="00F8340F">
        <w:rPr>
          <w:rFonts w:ascii="Arial" w:hAnsi="Arial" w:cs="Arial"/>
        </w:rPr>
        <w:t xml:space="preserve">was written by Christina Goe, a widely respected expert on state and federal insurance regulation and the former General Counsel of the Montana Insurance Department at the Office of the Montana State Auditor. During her tenure in Montana, </w:t>
      </w:r>
      <w:r w:rsidR="00CF1B33">
        <w:rPr>
          <w:rFonts w:ascii="Arial" w:hAnsi="Arial" w:cs="Arial"/>
        </w:rPr>
        <w:t>Ms. Goe</w:t>
      </w:r>
      <w:r w:rsidR="00092053" w:rsidRPr="00F8340F">
        <w:rPr>
          <w:rFonts w:ascii="Arial" w:hAnsi="Arial" w:cs="Arial"/>
        </w:rPr>
        <w:t xml:space="preserve"> served as the chair of the NAIC’s ERISA Working Group and the Market Analysis Procedures Working Group.</w:t>
      </w:r>
    </w:p>
    <w:p w14:paraId="660E329A" w14:textId="119211BF" w:rsidR="00147999" w:rsidRPr="00F8340F" w:rsidRDefault="00147999" w:rsidP="00193AF6">
      <w:pPr>
        <w:spacing w:after="160" w:line="240" w:lineRule="auto"/>
        <w:rPr>
          <w:rFonts w:ascii="Arial" w:hAnsi="Arial" w:cs="Arial"/>
        </w:rPr>
      </w:pPr>
      <w:r w:rsidRPr="00F8340F">
        <w:rPr>
          <w:rFonts w:ascii="Arial" w:hAnsi="Arial" w:cs="Arial"/>
        </w:rPr>
        <w:t>“Because association health plans, short-term insurance, health care sharing ministries, and various types of limited benefit health coverage have been available in the health insurance market for decades, there is plenty of evidence demonstrating how these products can segment the risk pool,” writes Ms. Goe. “</w:t>
      </w:r>
      <w:r w:rsidR="00035B36" w:rsidRPr="00035B36">
        <w:rPr>
          <w:rFonts w:ascii="Arial" w:hAnsi="Arial" w:cs="Arial"/>
        </w:rPr>
        <w:t>Risk pool segmentation has the obvious effect of driving up premiums in the health plans that protect individuals from health status discrimination</w:t>
      </w:r>
      <w:r w:rsidR="00E51864">
        <w:rPr>
          <w:rFonts w:ascii="Arial" w:hAnsi="Arial" w:cs="Arial"/>
        </w:rPr>
        <w:t>.</w:t>
      </w:r>
      <w:r w:rsidR="0031088F">
        <w:rPr>
          <w:rFonts w:ascii="Arial" w:hAnsi="Arial" w:cs="Arial"/>
        </w:rPr>
        <w:t>”</w:t>
      </w:r>
    </w:p>
    <w:p w14:paraId="49B81AB5" w14:textId="77777777" w:rsidR="00114020" w:rsidRPr="006F5E03" w:rsidRDefault="00114020" w:rsidP="00114020">
      <w:pPr>
        <w:spacing w:after="160" w:line="240" w:lineRule="auto"/>
        <w:rPr>
          <w:rFonts w:ascii="Arial" w:hAnsi="Arial" w:cs="Arial"/>
        </w:rPr>
      </w:pPr>
      <w:r w:rsidRPr="006F5E03">
        <w:rPr>
          <w:rFonts w:ascii="Arial" w:hAnsi="Arial" w:cs="Arial"/>
        </w:rPr>
        <w:t xml:space="preserve">“State insurance regulators are the first line of defense when it comes to ensuring that products being sold to their residents offer truly comprehensive, affordable </w:t>
      </w:r>
      <w:r>
        <w:rPr>
          <w:rFonts w:ascii="Arial" w:hAnsi="Arial" w:cs="Arial"/>
        </w:rPr>
        <w:t>health insurance</w:t>
      </w:r>
      <w:r w:rsidRPr="006F5E03">
        <w:rPr>
          <w:rFonts w:ascii="Arial" w:hAnsi="Arial" w:cs="Arial"/>
        </w:rPr>
        <w:t xml:space="preserve">,” said Sarah Lueck, Senior Policy Analyst at the Center on Budget and Policy Priorities and a consumer representative to the NAIC. “Without action by states, </w:t>
      </w:r>
      <w:r>
        <w:rPr>
          <w:rFonts w:ascii="Arial" w:hAnsi="Arial" w:cs="Arial"/>
        </w:rPr>
        <w:t xml:space="preserve">the policies being rolled out </w:t>
      </w:r>
      <w:r w:rsidR="005762FF">
        <w:rPr>
          <w:rFonts w:ascii="Arial" w:hAnsi="Arial" w:cs="Arial"/>
        </w:rPr>
        <w:t>in Washington D</w:t>
      </w:r>
      <w:r w:rsidR="004F31E9">
        <w:rPr>
          <w:rFonts w:ascii="Arial" w:hAnsi="Arial" w:cs="Arial"/>
        </w:rPr>
        <w:t>.</w:t>
      </w:r>
      <w:r w:rsidR="005762FF">
        <w:rPr>
          <w:rFonts w:ascii="Arial" w:hAnsi="Arial" w:cs="Arial"/>
        </w:rPr>
        <w:t>C</w:t>
      </w:r>
      <w:r w:rsidR="004F31E9">
        <w:rPr>
          <w:rFonts w:ascii="Arial" w:hAnsi="Arial" w:cs="Arial"/>
        </w:rPr>
        <w:t>.</w:t>
      </w:r>
      <w:r>
        <w:rPr>
          <w:rFonts w:ascii="Arial" w:hAnsi="Arial" w:cs="Arial"/>
        </w:rPr>
        <w:t xml:space="preserve"> will </w:t>
      </w:r>
      <w:r w:rsidRPr="006F5E03">
        <w:rPr>
          <w:rFonts w:ascii="Arial" w:hAnsi="Arial" w:cs="Arial"/>
          <w:shd w:val="clear" w:color="auto" w:fill="FFFFFF"/>
        </w:rPr>
        <w:t>destabiliz</w:t>
      </w:r>
      <w:r>
        <w:rPr>
          <w:rFonts w:ascii="Arial" w:hAnsi="Arial" w:cs="Arial"/>
          <w:shd w:val="clear" w:color="auto" w:fill="FFFFFF"/>
        </w:rPr>
        <w:t>e</w:t>
      </w:r>
      <w:r w:rsidRPr="006F5E03">
        <w:rPr>
          <w:rFonts w:ascii="Arial" w:hAnsi="Arial" w:cs="Arial"/>
          <w:shd w:val="clear" w:color="auto" w:fill="FFFFFF"/>
        </w:rPr>
        <w:t xml:space="preserve"> insurance markets that cover millions of individuals and small businesses, undermin</w:t>
      </w:r>
      <w:r>
        <w:rPr>
          <w:rFonts w:ascii="Arial" w:hAnsi="Arial" w:cs="Arial"/>
          <w:shd w:val="clear" w:color="auto" w:fill="FFFFFF"/>
        </w:rPr>
        <w:t>e protections for people with pre</w:t>
      </w:r>
      <w:r w:rsidRPr="006F5E03">
        <w:rPr>
          <w:rFonts w:ascii="Arial" w:hAnsi="Arial" w:cs="Arial"/>
          <w:shd w:val="clear" w:color="auto" w:fill="FFFFFF"/>
        </w:rPr>
        <w:t xml:space="preserve">existing health conditions, </w:t>
      </w:r>
      <w:r>
        <w:rPr>
          <w:rFonts w:ascii="Arial" w:hAnsi="Arial" w:cs="Arial"/>
          <w:shd w:val="clear" w:color="auto" w:fill="FFFFFF"/>
        </w:rPr>
        <w:t xml:space="preserve">and </w:t>
      </w:r>
      <w:r w:rsidR="005762FF">
        <w:rPr>
          <w:rFonts w:ascii="Arial" w:hAnsi="Arial" w:cs="Arial"/>
          <w:shd w:val="clear" w:color="auto" w:fill="FFFFFF"/>
        </w:rPr>
        <w:t>make health coverage far less comprehensive and less affordable than it is today.”</w:t>
      </w:r>
    </w:p>
    <w:p w14:paraId="36E57DA7" w14:textId="73D8070B" w:rsidR="00F8340F" w:rsidRDefault="00F8340F" w:rsidP="00F8340F">
      <w:pPr>
        <w:spacing w:after="160" w:line="240" w:lineRule="auto"/>
        <w:rPr>
          <w:rFonts w:ascii="Arial" w:hAnsi="Arial" w:cs="Arial"/>
        </w:rPr>
      </w:pPr>
      <w:r w:rsidRPr="00F8340F">
        <w:rPr>
          <w:rFonts w:ascii="Arial" w:hAnsi="Arial" w:cs="Arial"/>
        </w:rPr>
        <w:t xml:space="preserve">Anna Howard, Policy Principal at the American Cancer Society Cancer Action Network and a consumer representative to the NAIC, </w:t>
      </w:r>
      <w:r w:rsidR="00A23E79">
        <w:rPr>
          <w:rFonts w:ascii="Arial" w:hAnsi="Arial" w:cs="Arial"/>
        </w:rPr>
        <w:t>said</w:t>
      </w:r>
      <w:r w:rsidRPr="00F8340F">
        <w:rPr>
          <w:rFonts w:ascii="Arial" w:hAnsi="Arial" w:cs="Arial"/>
        </w:rPr>
        <w:t xml:space="preserve">, “The alternative coverage options </w:t>
      </w:r>
      <w:r w:rsidR="00AC4F02">
        <w:rPr>
          <w:rFonts w:ascii="Arial" w:hAnsi="Arial" w:cs="Arial"/>
        </w:rPr>
        <w:t xml:space="preserve">outlined in the report already </w:t>
      </w:r>
      <w:r w:rsidRPr="00F8340F">
        <w:rPr>
          <w:rFonts w:ascii="Arial" w:hAnsi="Arial" w:cs="Arial"/>
        </w:rPr>
        <w:t xml:space="preserve">have or will contribute to higher </w:t>
      </w:r>
      <w:r w:rsidR="00AC4F02">
        <w:rPr>
          <w:rFonts w:ascii="Arial" w:hAnsi="Arial" w:cs="Arial"/>
        </w:rPr>
        <w:t xml:space="preserve">out-of-pocket costs for individuals and families </w:t>
      </w:r>
      <w:r w:rsidRPr="00F8340F">
        <w:rPr>
          <w:rFonts w:ascii="Arial" w:hAnsi="Arial" w:cs="Arial"/>
        </w:rPr>
        <w:t>at a time when many are struggling just to get by. These policies merely shift costs to patients and consumers, while doing nothing to address the underlying cost of care and need for market stability.”</w:t>
      </w:r>
    </w:p>
    <w:p w14:paraId="1D1238BA" w14:textId="77777777" w:rsidR="004A7E2D" w:rsidRDefault="004A7E2D" w:rsidP="004A7E2D">
      <w:pPr>
        <w:spacing w:after="160" w:line="240" w:lineRule="auto"/>
        <w:rPr>
          <w:rFonts w:ascii="Arial" w:hAnsi="Arial" w:cs="Arial"/>
        </w:rPr>
      </w:pPr>
      <w:r w:rsidRPr="00F8340F">
        <w:rPr>
          <w:rFonts w:ascii="Arial" w:hAnsi="Arial" w:cs="Arial"/>
        </w:rPr>
        <w:t xml:space="preserve">An overview of the report will be provided to state insurance commissioners during the Health Insurance and Managed Care (B) Committee meeting on Sunday, March 25th during the NAIC Spring 2018 National Meeting in Milwaukee, Wisconsin. </w:t>
      </w:r>
    </w:p>
    <w:p w14:paraId="5F16EEDE" w14:textId="77777777" w:rsidR="00F8340F" w:rsidRDefault="00F8340F" w:rsidP="00F8340F">
      <w:pPr>
        <w:spacing w:after="160" w:line="240" w:lineRule="auto"/>
        <w:rPr>
          <w:rFonts w:ascii="Arial" w:hAnsi="Arial" w:cs="Arial"/>
        </w:rPr>
      </w:pPr>
      <w:r w:rsidRPr="00F8340F">
        <w:rPr>
          <w:rFonts w:ascii="Arial" w:hAnsi="Arial" w:cs="Arial"/>
        </w:rPr>
        <w:t xml:space="preserve">The report was commissioned by a group of consumer representatives appointed to the NAIC and members from a wide range of national organizations such as the American Cancer Society Cancer </w:t>
      </w:r>
      <w:r w:rsidRPr="00F8340F">
        <w:rPr>
          <w:rFonts w:ascii="Arial" w:hAnsi="Arial" w:cs="Arial"/>
        </w:rPr>
        <w:lastRenderedPageBreak/>
        <w:t xml:space="preserve">Action Network, the American Heart Association, Consumers Union, Families USA, and the National Alliance on Mental Illness; state-based advocacy organizations such as the Colorado Consumer Health Initiative, Georgians for a Healthy Future, and the North Carolina Justice Center; and academic centers such as Georgetown University. </w:t>
      </w:r>
    </w:p>
    <w:p w14:paraId="70BA7482" w14:textId="3C148F9F" w:rsidR="0017172F" w:rsidRPr="00F8340F" w:rsidRDefault="0017172F" w:rsidP="00F8340F">
      <w:pPr>
        <w:spacing w:after="160" w:line="240" w:lineRule="auto"/>
        <w:rPr>
          <w:rFonts w:ascii="Arial" w:hAnsi="Arial" w:cs="Arial"/>
        </w:rPr>
      </w:pPr>
      <w:r>
        <w:rPr>
          <w:rFonts w:ascii="Arial" w:hAnsi="Arial" w:cs="Arial"/>
        </w:rPr>
        <w:t>Support for the report was provided by the Robert Wood Johnson Foundation. The views expressed in the report do not necessarily reflect the views of the Foundation.</w:t>
      </w:r>
    </w:p>
    <w:p w14:paraId="0DD69670" w14:textId="77777777" w:rsidR="004310A0" w:rsidRPr="00F8340F" w:rsidRDefault="004310A0" w:rsidP="00DF4359">
      <w:pPr>
        <w:pStyle w:val="BodyText"/>
        <w:tabs>
          <w:tab w:val="left" w:pos="180"/>
        </w:tabs>
        <w:spacing w:after="160"/>
        <w:ind w:right="547"/>
        <w:rPr>
          <w:rStyle w:val="Strong"/>
          <w:rFonts w:ascii="Arial" w:hAnsi="Arial" w:cs="Arial"/>
          <w:sz w:val="22"/>
          <w:szCs w:val="22"/>
        </w:rPr>
      </w:pPr>
      <w:r w:rsidRPr="00F8340F">
        <w:rPr>
          <w:rStyle w:val="Strong"/>
          <w:rFonts w:ascii="Arial" w:hAnsi="Arial" w:cs="Arial"/>
          <w:sz w:val="22"/>
          <w:szCs w:val="22"/>
        </w:rPr>
        <w:t xml:space="preserve">Contact Information </w:t>
      </w:r>
    </w:p>
    <w:p w14:paraId="7C560DB7" w14:textId="77777777" w:rsidR="004310A0" w:rsidRPr="005425E5" w:rsidRDefault="004310A0" w:rsidP="00DF4359">
      <w:pPr>
        <w:pStyle w:val="BodyText"/>
        <w:tabs>
          <w:tab w:val="left" w:pos="180"/>
        </w:tabs>
        <w:spacing w:after="160"/>
        <w:ind w:right="547"/>
        <w:rPr>
          <w:rFonts w:ascii="Arial" w:hAnsi="Arial" w:cs="Arial"/>
          <w:sz w:val="22"/>
          <w:szCs w:val="22"/>
        </w:rPr>
      </w:pPr>
      <w:r w:rsidRPr="00F8340F">
        <w:rPr>
          <w:rFonts w:ascii="Arial" w:hAnsi="Arial" w:cs="Arial"/>
          <w:sz w:val="22"/>
          <w:szCs w:val="22"/>
        </w:rPr>
        <w:t>For more information about</w:t>
      </w:r>
      <w:r w:rsidR="00B066D1" w:rsidRPr="00F8340F">
        <w:rPr>
          <w:rFonts w:ascii="Arial" w:hAnsi="Arial" w:cs="Arial"/>
          <w:sz w:val="22"/>
          <w:szCs w:val="22"/>
        </w:rPr>
        <w:t xml:space="preserve"> </w:t>
      </w:r>
      <w:r w:rsidR="005425E5" w:rsidRPr="00F8340F">
        <w:rPr>
          <w:rFonts w:ascii="Arial" w:hAnsi="Arial" w:cs="Arial"/>
          <w:i/>
          <w:sz w:val="22"/>
          <w:szCs w:val="22"/>
        </w:rPr>
        <w:t>Non-ACA-Compliant Plans and the Risk of Market Segmentation: Considerations for State Insurance Regulators</w:t>
      </w:r>
      <w:r w:rsidR="005425E5" w:rsidRPr="00F8340F">
        <w:rPr>
          <w:rFonts w:ascii="Arial" w:hAnsi="Arial" w:cs="Arial"/>
          <w:sz w:val="22"/>
          <w:szCs w:val="22"/>
        </w:rPr>
        <w:t xml:space="preserve">, </w:t>
      </w:r>
      <w:r w:rsidRPr="00F8340F">
        <w:rPr>
          <w:rFonts w:ascii="Arial" w:hAnsi="Arial" w:cs="Arial"/>
          <w:sz w:val="22"/>
          <w:szCs w:val="22"/>
        </w:rPr>
        <w:t xml:space="preserve">please contact </w:t>
      </w:r>
      <w:r w:rsidR="006F4016" w:rsidRPr="00F8340F">
        <w:rPr>
          <w:rFonts w:ascii="Arial" w:hAnsi="Arial" w:cs="Arial"/>
          <w:sz w:val="22"/>
          <w:szCs w:val="22"/>
        </w:rPr>
        <w:t>Katie Keith</w:t>
      </w:r>
      <w:r w:rsidRPr="00F8340F">
        <w:rPr>
          <w:rFonts w:ascii="Arial" w:hAnsi="Arial" w:cs="Arial"/>
          <w:sz w:val="22"/>
          <w:szCs w:val="22"/>
        </w:rPr>
        <w:t xml:space="preserve"> at</w:t>
      </w:r>
      <w:r w:rsidR="006F4016" w:rsidRPr="00F8340F">
        <w:rPr>
          <w:rFonts w:ascii="Arial" w:hAnsi="Arial" w:cs="Arial"/>
          <w:sz w:val="22"/>
          <w:szCs w:val="22"/>
        </w:rPr>
        <w:t xml:space="preserve"> </w:t>
      </w:r>
      <w:hyperlink r:id="rId6" w:history="1">
        <w:r w:rsidR="006F4016" w:rsidRPr="00F8340F">
          <w:rPr>
            <w:rStyle w:val="Hyperlink"/>
            <w:rFonts w:ascii="Arial" w:hAnsi="Arial" w:cs="Arial"/>
            <w:sz w:val="22"/>
            <w:szCs w:val="22"/>
          </w:rPr>
          <w:t>katie.keith@georgetown.edu</w:t>
        </w:r>
      </w:hyperlink>
      <w:r w:rsidR="006F4016" w:rsidRPr="00F8340F">
        <w:rPr>
          <w:rFonts w:ascii="Arial" w:hAnsi="Arial" w:cs="Arial"/>
          <w:sz w:val="22"/>
          <w:szCs w:val="22"/>
        </w:rPr>
        <w:t xml:space="preserve"> </w:t>
      </w:r>
      <w:r w:rsidR="00BF1304" w:rsidRPr="00F8340F">
        <w:rPr>
          <w:rFonts w:ascii="Arial" w:hAnsi="Arial" w:cs="Arial"/>
          <w:sz w:val="22"/>
          <w:szCs w:val="22"/>
        </w:rPr>
        <w:t xml:space="preserve">or </w:t>
      </w:r>
      <w:r w:rsidR="005425E5" w:rsidRPr="00F8340F">
        <w:rPr>
          <w:rFonts w:ascii="Arial" w:hAnsi="Arial" w:cs="Arial"/>
          <w:sz w:val="22"/>
          <w:szCs w:val="22"/>
        </w:rPr>
        <w:t>Sarah Lueck</w:t>
      </w:r>
      <w:r w:rsidR="00801310" w:rsidRPr="00F8340F">
        <w:rPr>
          <w:rFonts w:ascii="Arial" w:hAnsi="Arial" w:cs="Arial"/>
          <w:sz w:val="22"/>
          <w:szCs w:val="22"/>
        </w:rPr>
        <w:t xml:space="preserve"> at</w:t>
      </w:r>
      <w:r w:rsidR="005425E5" w:rsidRPr="00F8340F">
        <w:rPr>
          <w:rFonts w:ascii="Arial" w:hAnsi="Arial" w:cs="Arial"/>
          <w:sz w:val="22"/>
          <w:szCs w:val="22"/>
        </w:rPr>
        <w:t xml:space="preserve"> </w:t>
      </w:r>
      <w:hyperlink r:id="rId7" w:history="1">
        <w:r w:rsidR="005425E5" w:rsidRPr="00F8340F">
          <w:rPr>
            <w:rStyle w:val="Hyperlink"/>
            <w:rFonts w:ascii="Arial" w:hAnsi="Arial" w:cs="Arial"/>
            <w:sz w:val="22"/>
            <w:szCs w:val="22"/>
          </w:rPr>
          <w:t>lueck@cbpp.org</w:t>
        </w:r>
      </w:hyperlink>
      <w:r w:rsidR="005425E5" w:rsidRPr="00F8340F">
        <w:rPr>
          <w:rFonts w:ascii="Arial" w:hAnsi="Arial" w:cs="Arial"/>
          <w:sz w:val="22"/>
          <w:szCs w:val="22"/>
        </w:rPr>
        <w:t>.</w:t>
      </w:r>
      <w:r w:rsidR="005425E5">
        <w:rPr>
          <w:rFonts w:ascii="Arial" w:hAnsi="Arial" w:cs="Arial"/>
          <w:sz w:val="22"/>
          <w:szCs w:val="22"/>
        </w:rPr>
        <w:t xml:space="preserve"> </w:t>
      </w:r>
    </w:p>
    <w:sectPr w:rsidR="004310A0" w:rsidRPr="005425E5" w:rsidSect="0091320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2F7"/>
    <w:multiLevelType w:val="hybridMultilevel"/>
    <w:tmpl w:val="2AFE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3507F"/>
    <w:multiLevelType w:val="hybridMultilevel"/>
    <w:tmpl w:val="D594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30"/>
    <w:rsid w:val="00004AEF"/>
    <w:rsid w:val="00027FA0"/>
    <w:rsid w:val="00030DA8"/>
    <w:rsid w:val="00035B36"/>
    <w:rsid w:val="000406F9"/>
    <w:rsid w:val="00057071"/>
    <w:rsid w:val="00092053"/>
    <w:rsid w:val="000A5F18"/>
    <w:rsid w:val="000C1762"/>
    <w:rsid w:val="000F1EA7"/>
    <w:rsid w:val="000F6985"/>
    <w:rsid w:val="000F7B96"/>
    <w:rsid w:val="00113211"/>
    <w:rsid w:val="00114020"/>
    <w:rsid w:val="001217E2"/>
    <w:rsid w:val="001233DA"/>
    <w:rsid w:val="001271CA"/>
    <w:rsid w:val="00136211"/>
    <w:rsid w:val="00147999"/>
    <w:rsid w:val="001605C2"/>
    <w:rsid w:val="0017172F"/>
    <w:rsid w:val="0017438B"/>
    <w:rsid w:val="0017554C"/>
    <w:rsid w:val="00190EC4"/>
    <w:rsid w:val="00193AF6"/>
    <w:rsid w:val="00195052"/>
    <w:rsid w:val="001B696D"/>
    <w:rsid w:val="0021227E"/>
    <w:rsid w:val="00275AE5"/>
    <w:rsid w:val="002900A5"/>
    <w:rsid w:val="002B13B4"/>
    <w:rsid w:val="002C5C26"/>
    <w:rsid w:val="002E3332"/>
    <w:rsid w:val="002E6F95"/>
    <w:rsid w:val="0031088F"/>
    <w:rsid w:val="00315889"/>
    <w:rsid w:val="003317B1"/>
    <w:rsid w:val="00332E21"/>
    <w:rsid w:val="00335936"/>
    <w:rsid w:val="003434FE"/>
    <w:rsid w:val="00343A56"/>
    <w:rsid w:val="003520CC"/>
    <w:rsid w:val="0036694C"/>
    <w:rsid w:val="00385E38"/>
    <w:rsid w:val="003A1EE6"/>
    <w:rsid w:val="003D645B"/>
    <w:rsid w:val="00404099"/>
    <w:rsid w:val="00411469"/>
    <w:rsid w:val="00412545"/>
    <w:rsid w:val="004310A0"/>
    <w:rsid w:val="00441B9D"/>
    <w:rsid w:val="00456128"/>
    <w:rsid w:val="0048460A"/>
    <w:rsid w:val="00484BFD"/>
    <w:rsid w:val="004A7E2D"/>
    <w:rsid w:val="004B7CB4"/>
    <w:rsid w:val="004C3420"/>
    <w:rsid w:val="004D420D"/>
    <w:rsid w:val="004F31E9"/>
    <w:rsid w:val="00504155"/>
    <w:rsid w:val="00512DB4"/>
    <w:rsid w:val="00517EC8"/>
    <w:rsid w:val="00530436"/>
    <w:rsid w:val="00532D18"/>
    <w:rsid w:val="0053512A"/>
    <w:rsid w:val="00540E60"/>
    <w:rsid w:val="005421BE"/>
    <w:rsid w:val="005425E5"/>
    <w:rsid w:val="00542E56"/>
    <w:rsid w:val="00550B64"/>
    <w:rsid w:val="005514A7"/>
    <w:rsid w:val="00563E65"/>
    <w:rsid w:val="005762FF"/>
    <w:rsid w:val="005936AE"/>
    <w:rsid w:val="005B2231"/>
    <w:rsid w:val="005D2604"/>
    <w:rsid w:val="005D6803"/>
    <w:rsid w:val="00603131"/>
    <w:rsid w:val="00607D1A"/>
    <w:rsid w:val="00625AA3"/>
    <w:rsid w:val="0065277A"/>
    <w:rsid w:val="00670B52"/>
    <w:rsid w:val="00674F7E"/>
    <w:rsid w:val="006932B0"/>
    <w:rsid w:val="006D11CB"/>
    <w:rsid w:val="006E7F4F"/>
    <w:rsid w:val="006F4016"/>
    <w:rsid w:val="006F5E03"/>
    <w:rsid w:val="007017AE"/>
    <w:rsid w:val="00702930"/>
    <w:rsid w:val="00761CC4"/>
    <w:rsid w:val="00776188"/>
    <w:rsid w:val="007D1383"/>
    <w:rsid w:val="007D570F"/>
    <w:rsid w:val="007D67DA"/>
    <w:rsid w:val="007E23FB"/>
    <w:rsid w:val="007E494F"/>
    <w:rsid w:val="007E716F"/>
    <w:rsid w:val="007F164E"/>
    <w:rsid w:val="00801310"/>
    <w:rsid w:val="0080251A"/>
    <w:rsid w:val="00810871"/>
    <w:rsid w:val="008161E3"/>
    <w:rsid w:val="00820C0C"/>
    <w:rsid w:val="008212B4"/>
    <w:rsid w:val="00832D7B"/>
    <w:rsid w:val="008345AA"/>
    <w:rsid w:val="00850AC4"/>
    <w:rsid w:val="00855E67"/>
    <w:rsid w:val="00891C24"/>
    <w:rsid w:val="00894508"/>
    <w:rsid w:val="008A0097"/>
    <w:rsid w:val="008E39EC"/>
    <w:rsid w:val="008E3B62"/>
    <w:rsid w:val="008F28C3"/>
    <w:rsid w:val="00903DDE"/>
    <w:rsid w:val="0091320B"/>
    <w:rsid w:val="009208ED"/>
    <w:rsid w:val="00933993"/>
    <w:rsid w:val="00940B96"/>
    <w:rsid w:val="00942C3D"/>
    <w:rsid w:val="0094588D"/>
    <w:rsid w:val="00965EF2"/>
    <w:rsid w:val="00971033"/>
    <w:rsid w:val="00982060"/>
    <w:rsid w:val="009A4C4F"/>
    <w:rsid w:val="00A01937"/>
    <w:rsid w:val="00A12069"/>
    <w:rsid w:val="00A23E79"/>
    <w:rsid w:val="00A51C93"/>
    <w:rsid w:val="00A63D00"/>
    <w:rsid w:val="00A654AD"/>
    <w:rsid w:val="00A93349"/>
    <w:rsid w:val="00A941DA"/>
    <w:rsid w:val="00AB18C9"/>
    <w:rsid w:val="00AB7B8B"/>
    <w:rsid w:val="00AC4F02"/>
    <w:rsid w:val="00AC583C"/>
    <w:rsid w:val="00AC7E16"/>
    <w:rsid w:val="00AD6CB9"/>
    <w:rsid w:val="00AF4C11"/>
    <w:rsid w:val="00B00575"/>
    <w:rsid w:val="00B066D1"/>
    <w:rsid w:val="00B1439F"/>
    <w:rsid w:val="00B17E6B"/>
    <w:rsid w:val="00B30815"/>
    <w:rsid w:val="00B31AEE"/>
    <w:rsid w:val="00B40D7E"/>
    <w:rsid w:val="00B67CFA"/>
    <w:rsid w:val="00B82D63"/>
    <w:rsid w:val="00B85A3D"/>
    <w:rsid w:val="00B871F7"/>
    <w:rsid w:val="00B92087"/>
    <w:rsid w:val="00BA504C"/>
    <w:rsid w:val="00BA786B"/>
    <w:rsid w:val="00BB1802"/>
    <w:rsid w:val="00BB5BC6"/>
    <w:rsid w:val="00BC7B3A"/>
    <w:rsid w:val="00BD370E"/>
    <w:rsid w:val="00BD3FA3"/>
    <w:rsid w:val="00BF1304"/>
    <w:rsid w:val="00BF511D"/>
    <w:rsid w:val="00BF5F01"/>
    <w:rsid w:val="00C22C03"/>
    <w:rsid w:val="00C43BAC"/>
    <w:rsid w:val="00C45BDA"/>
    <w:rsid w:val="00C55F1F"/>
    <w:rsid w:val="00C6750B"/>
    <w:rsid w:val="00C7573A"/>
    <w:rsid w:val="00C77FC3"/>
    <w:rsid w:val="00C85906"/>
    <w:rsid w:val="00C93655"/>
    <w:rsid w:val="00C9786D"/>
    <w:rsid w:val="00CA41E2"/>
    <w:rsid w:val="00CB25D6"/>
    <w:rsid w:val="00CC2EA6"/>
    <w:rsid w:val="00CE03A6"/>
    <w:rsid w:val="00CE53CA"/>
    <w:rsid w:val="00CF1B33"/>
    <w:rsid w:val="00D01D9F"/>
    <w:rsid w:val="00D57DC1"/>
    <w:rsid w:val="00D72F86"/>
    <w:rsid w:val="00D7663C"/>
    <w:rsid w:val="00D807F2"/>
    <w:rsid w:val="00D84A40"/>
    <w:rsid w:val="00D8764F"/>
    <w:rsid w:val="00DA0764"/>
    <w:rsid w:val="00DE0F52"/>
    <w:rsid w:val="00DF4359"/>
    <w:rsid w:val="00E062AD"/>
    <w:rsid w:val="00E27227"/>
    <w:rsid w:val="00E31F5F"/>
    <w:rsid w:val="00E37EB3"/>
    <w:rsid w:val="00E450A9"/>
    <w:rsid w:val="00E5034B"/>
    <w:rsid w:val="00E51864"/>
    <w:rsid w:val="00E53EC8"/>
    <w:rsid w:val="00E71BD5"/>
    <w:rsid w:val="00E87BF8"/>
    <w:rsid w:val="00ED2130"/>
    <w:rsid w:val="00ED7218"/>
    <w:rsid w:val="00F03B94"/>
    <w:rsid w:val="00F072A8"/>
    <w:rsid w:val="00F13FE0"/>
    <w:rsid w:val="00F72F27"/>
    <w:rsid w:val="00F8340F"/>
    <w:rsid w:val="00F875B2"/>
    <w:rsid w:val="00FE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A1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2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130"/>
    <w:rPr>
      <w:rFonts w:ascii="Tahoma" w:hAnsi="Tahoma" w:cs="Tahoma"/>
      <w:sz w:val="16"/>
      <w:szCs w:val="16"/>
    </w:rPr>
  </w:style>
  <w:style w:type="table" w:styleId="TableGrid">
    <w:name w:val="Table Grid"/>
    <w:basedOn w:val="TableNormal"/>
    <w:uiPriority w:val="99"/>
    <w:rsid w:val="00ED2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30815"/>
    <w:pPr>
      <w:ind w:left="720"/>
      <w:contextualSpacing/>
    </w:pPr>
  </w:style>
  <w:style w:type="character" w:styleId="CommentReference">
    <w:name w:val="annotation reference"/>
    <w:basedOn w:val="DefaultParagraphFont"/>
    <w:uiPriority w:val="99"/>
    <w:semiHidden/>
    <w:rsid w:val="00855E67"/>
    <w:rPr>
      <w:rFonts w:cs="Times New Roman"/>
      <w:sz w:val="16"/>
      <w:szCs w:val="16"/>
    </w:rPr>
  </w:style>
  <w:style w:type="paragraph" w:styleId="CommentText">
    <w:name w:val="annotation text"/>
    <w:basedOn w:val="Normal"/>
    <w:link w:val="CommentTextChar"/>
    <w:uiPriority w:val="99"/>
    <w:semiHidden/>
    <w:rsid w:val="00855E6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55E67"/>
    <w:rPr>
      <w:rFonts w:cs="Times New Roman"/>
      <w:sz w:val="20"/>
      <w:szCs w:val="20"/>
    </w:rPr>
  </w:style>
  <w:style w:type="paragraph" w:styleId="CommentSubject">
    <w:name w:val="annotation subject"/>
    <w:basedOn w:val="CommentText"/>
    <w:next w:val="CommentText"/>
    <w:link w:val="CommentSubjectChar"/>
    <w:uiPriority w:val="99"/>
    <w:semiHidden/>
    <w:rsid w:val="00855E67"/>
    <w:rPr>
      <w:b/>
      <w:bCs/>
    </w:rPr>
  </w:style>
  <w:style w:type="character" w:customStyle="1" w:styleId="CommentSubjectChar">
    <w:name w:val="Comment Subject Char"/>
    <w:basedOn w:val="CommentTextChar"/>
    <w:link w:val="CommentSubject"/>
    <w:uiPriority w:val="99"/>
    <w:semiHidden/>
    <w:locked/>
    <w:rsid w:val="00855E67"/>
    <w:rPr>
      <w:rFonts w:cs="Times New Roman"/>
      <w:b/>
      <w:bCs/>
      <w:sz w:val="20"/>
      <w:szCs w:val="20"/>
    </w:rPr>
  </w:style>
  <w:style w:type="paragraph" w:styleId="BodyText">
    <w:name w:val="Body Text"/>
    <w:basedOn w:val="Normal"/>
    <w:link w:val="BodyTextChar"/>
    <w:uiPriority w:val="99"/>
    <w:rsid w:val="005936AE"/>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5936AE"/>
    <w:rPr>
      <w:rFonts w:ascii="Times New Roman" w:hAnsi="Times New Roman" w:cs="Times New Roman"/>
      <w:sz w:val="24"/>
      <w:szCs w:val="24"/>
    </w:rPr>
  </w:style>
  <w:style w:type="character" w:styleId="Hyperlink">
    <w:name w:val="Hyperlink"/>
    <w:basedOn w:val="DefaultParagraphFont"/>
    <w:uiPriority w:val="99"/>
    <w:rsid w:val="00530436"/>
    <w:rPr>
      <w:rFonts w:cs="Times New Roman"/>
      <w:color w:val="0000FF"/>
      <w:u w:val="single"/>
    </w:rPr>
  </w:style>
  <w:style w:type="character" w:styleId="Strong">
    <w:name w:val="Strong"/>
    <w:basedOn w:val="DefaultParagraphFont"/>
    <w:uiPriority w:val="99"/>
    <w:qFormat/>
    <w:rsid w:val="00530436"/>
    <w:rPr>
      <w:rFonts w:cs="Times New Roman"/>
      <w:b/>
      <w:bCs/>
    </w:rPr>
  </w:style>
  <w:style w:type="character" w:styleId="Emphasis">
    <w:name w:val="Emphasis"/>
    <w:basedOn w:val="DefaultParagraphFont"/>
    <w:uiPriority w:val="99"/>
    <w:qFormat/>
    <w:rsid w:val="00530436"/>
    <w:rPr>
      <w:rFonts w:cs="Times New Roman"/>
      <w:i/>
      <w:iCs/>
    </w:rPr>
  </w:style>
  <w:style w:type="character" w:styleId="FollowedHyperlink">
    <w:name w:val="FollowedHyperlink"/>
    <w:basedOn w:val="DefaultParagraphFont"/>
    <w:uiPriority w:val="99"/>
    <w:semiHidden/>
    <w:unhideWhenUsed/>
    <w:rsid w:val="00A63D00"/>
    <w:rPr>
      <w:color w:val="800080" w:themeColor="followedHyperlink"/>
      <w:u w:val="single"/>
    </w:rPr>
  </w:style>
  <w:style w:type="character" w:customStyle="1" w:styleId="Mention1">
    <w:name w:val="Mention1"/>
    <w:basedOn w:val="DefaultParagraphFont"/>
    <w:uiPriority w:val="99"/>
    <w:semiHidden/>
    <w:unhideWhenUsed/>
    <w:rsid w:val="00801310"/>
    <w:rPr>
      <w:color w:val="2B579A"/>
      <w:shd w:val="clear" w:color="auto" w:fill="E6E6E6"/>
    </w:rPr>
  </w:style>
  <w:style w:type="character" w:customStyle="1" w:styleId="UnresolvedMention1">
    <w:name w:val="Unresolved Mention1"/>
    <w:basedOn w:val="DefaultParagraphFont"/>
    <w:uiPriority w:val="99"/>
    <w:semiHidden/>
    <w:unhideWhenUsed/>
    <w:rsid w:val="005425E5"/>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B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2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130"/>
    <w:rPr>
      <w:rFonts w:ascii="Tahoma" w:hAnsi="Tahoma" w:cs="Tahoma"/>
      <w:sz w:val="16"/>
      <w:szCs w:val="16"/>
    </w:rPr>
  </w:style>
  <w:style w:type="table" w:styleId="TableGrid">
    <w:name w:val="Table Grid"/>
    <w:basedOn w:val="TableNormal"/>
    <w:uiPriority w:val="99"/>
    <w:rsid w:val="00ED21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30815"/>
    <w:pPr>
      <w:ind w:left="720"/>
      <w:contextualSpacing/>
    </w:pPr>
  </w:style>
  <w:style w:type="character" w:styleId="CommentReference">
    <w:name w:val="annotation reference"/>
    <w:basedOn w:val="DefaultParagraphFont"/>
    <w:uiPriority w:val="99"/>
    <w:semiHidden/>
    <w:rsid w:val="00855E67"/>
    <w:rPr>
      <w:rFonts w:cs="Times New Roman"/>
      <w:sz w:val="16"/>
      <w:szCs w:val="16"/>
    </w:rPr>
  </w:style>
  <w:style w:type="paragraph" w:styleId="CommentText">
    <w:name w:val="annotation text"/>
    <w:basedOn w:val="Normal"/>
    <w:link w:val="CommentTextChar"/>
    <w:uiPriority w:val="99"/>
    <w:semiHidden/>
    <w:rsid w:val="00855E6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55E67"/>
    <w:rPr>
      <w:rFonts w:cs="Times New Roman"/>
      <w:sz w:val="20"/>
      <w:szCs w:val="20"/>
    </w:rPr>
  </w:style>
  <w:style w:type="paragraph" w:styleId="CommentSubject">
    <w:name w:val="annotation subject"/>
    <w:basedOn w:val="CommentText"/>
    <w:next w:val="CommentText"/>
    <w:link w:val="CommentSubjectChar"/>
    <w:uiPriority w:val="99"/>
    <w:semiHidden/>
    <w:rsid w:val="00855E67"/>
    <w:rPr>
      <w:b/>
      <w:bCs/>
    </w:rPr>
  </w:style>
  <w:style w:type="character" w:customStyle="1" w:styleId="CommentSubjectChar">
    <w:name w:val="Comment Subject Char"/>
    <w:basedOn w:val="CommentTextChar"/>
    <w:link w:val="CommentSubject"/>
    <w:uiPriority w:val="99"/>
    <w:semiHidden/>
    <w:locked/>
    <w:rsid w:val="00855E67"/>
    <w:rPr>
      <w:rFonts w:cs="Times New Roman"/>
      <w:b/>
      <w:bCs/>
      <w:sz w:val="20"/>
      <w:szCs w:val="20"/>
    </w:rPr>
  </w:style>
  <w:style w:type="paragraph" w:styleId="BodyText">
    <w:name w:val="Body Text"/>
    <w:basedOn w:val="Normal"/>
    <w:link w:val="BodyTextChar"/>
    <w:uiPriority w:val="99"/>
    <w:rsid w:val="005936AE"/>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uiPriority w:val="99"/>
    <w:locked/>
    <w:rsid w:val="005936AE"/>
    <w:rPr>
      <w:rFonts w:ascii="Times New Roman" w:hAnsi="Times New Roman" w:cs="Times New Roman"/>
      <w:sz w:val="24"/>
      <w:szCs w:val="24"/>
    </w:rPr>
  </w:style>
  <w:style w:type="character" w:styleId="Hyperlink">
    <w:name w:val="Hyperlink"/>
    <w:basedOn w:val="DefaultParagraphFont"/>
    <w:uiPriority w:val="99"/>
    <w:rsid w:val="00530436"/>
    <w:rPr>
      <w:rFonts w:cs="Times New Roman"/>
      <w:color w:val="0000FF"/>
      <w:u w:val="single"/>
    </w:rPr>
  </w:style>
  <w:style w:type="character" w:styleId="Strong">
    <w:name w:val="Strong"/>
    <w:basedOn w:val="DefaultParagraphFont"/>
    <w:uiPriority w:val="99"/>
    <w:qFormat/>
    <w:rsid w:val="00530436"/>
    <w:rPr>
      <w:rFonts w:cs="Times New Roman"/>
      <w:b/>
      <w:bCs/>
    </w:rPr>
  </w:style>
  <w:style w:type="character" w:styleId="Emphasis">
    <w:name w:val="Emphasis"/>
    <w:basedOn w:val="DefaultParagraphFont"/>
    <w:uiPriority w:val="99"/>
    <w:qFormat/>
    <w:rsid w:val="00530436"/>
    <w:rPr>
      <w:rFonts w:cs="Times New Roman"/>
      <w:i/>
      <w:iCs/>
    </w:rPr>
  </w:style>
  <w:style w:type="character" w:styleId="FollowedHyperlink">
    <w:name w:val="FollowedHyperlink"/>
    <w:basedOn w:val="DefaultParagraphFont"/>
    <w:uiPriority w:val="99"/>
    <w:semiHidden/>
    <w:unhideWhenUsed/>
    <w:rsid w:val="00A63D00"/>
    <w:rPr>
      <w:color w:val="800080" w:themeColor="followedHyperlink"/>
      <w:u w:val="single"/>
    </w:rPr>
  </w:style>
  <w:style w:type="character" w:customStyle="1" w:styleId="Mention1">
    <w:name w:val="Mention1"/>
    <w:basedOn w:val="DefaultParagraphFont"/>
    <w:uiPriority w:val="99"/>
    <w:semiHidden/>
    <w:unhideWhenUsed/>
    <w:rsid w:val="00801310"/>
    <w:rPr>
      <w:color w:val="2B579A"/>
      <w:shd w:val="clear" w:color="auto" w:fill="E6E6E6"/>
    </w:rPr>
  </w:style>
  <w:style w:type="character" w:customStyle="1" w:styleId="UnresolvedMention1">
    <w:name w:val="Unresolved Mention1"/>
    <w:basedOn w:val="DefaultParagraphFont"/>
    <w:uiPriority w:val="99"/>
    <w:semiHidden/>
    <w:unhideWhenUsed/>
    <w:rsid w:val="0054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ie.keith@georgetown.edu" TargetMode="External"/><Relationship Id="rId7" Type="http://schemas.openxmlformats.org/officeDocument/2006/relationships/hyperlink" Target="mailto:lueck@cbpp.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4482</CharactersWithSpaces>
  <SharedDoc>false</SharedDoc>
  <HLinks>
    <vt:vector size="36" baseType="variant">
      <vt:variant>
        <vt:i4>4522064</vt:i4>
      </vt:variant>
      <vt:variant>
        <vt:i4>18</vt:i4>
      </vt:variant>
      <vt:variant>
        <vt:i4>0</vt:i4>
      </vt:variant>
      <vt:variant>
        <vt:i4>5</vt:i4>
      </vt:variant>
      <vt:variant>
        <vt:lpwstr>http://www.nasi.org/</vt:lpwstr>
      </vt:variant>
      <vt:variant>
        <vt:lpwstr/>
      </vt:variant>
      <vt:variant>
        <vt:i4>4587638</vt:i4>
      </vt:variant>
      <vt:variant>
        <vt:i4>15</vt:i4>
      </vt:variant>
      <vt:variant>
        <vt:i4>0</vt:i4>
      </vt:variant>
      <vt:variant>
        <vt:i4>5</vt:i4>
      </vt:variant>
      <vt:variant>
        <vt:lpwstr>mailto:lgoldberg@nasi.org</vt:lpwstr>
      </vt:variant>
      <vt:variant>
        <vt:lpwstr/>
      </vt:variant>
      <vt:variant>
        <vt:i4>5898265</vt:i4>
      </vt:variant>
      <vt:variant>
        <vt:i4>12</vt:i4>
      </vt:variant>
      <vt:variant>
        <vt:i4>0</vt:i4>
      </vt:variant>
      <vt:variant>
        <vt:i4>5</vt:i4>
      </vt:variant>
      <vt:variant>
        <vt:lpwstr>http://www.nasi.org/research/2011/federally-facilitated-exchanges-continuum-state-options</vt:lpwstr>
      </vt:variant>
      <vt:variant>
        <vt:lpwstr/>
      </vt:variant>
      <vt:variant>
        <vt:i4>8192110</vt:i4>
      </vt:variant>
      <vt:variant>
        <vt:i4>9</vt:i4>
      </vt:variant>
      <vt:variant>
        <vt:i4>0</vt:i4>
      </vt:variant>
      <vt:variant>
        <vt:i4>5</vt:i4>
      </vt:variant>
      <vt:variant>
        <vt:lpwstr>http://www.nasi.org/research/2011/active-purchasing-health-insurance-exchanges-analysis-option</vt:lpwstr>
      </vt:variant>
      <vt:variant>
        <vt:lpwstr/>
      </vt:variant>
      <vt:variant>
        <vt:i4>4128827</vt:i4>
      </vt:variant>
      <vt:variant>
        <vt:i4>6</vt:i4>
      </vt:variant>
      <vt:variant>
        <vt:i4>0</vt:i4>
      </vt:variant>
      <vt:variant>
        <vt:i4>5</vt:i4>
      </vt:variant>
      <vt:variant>
        <vt:lpwstr>http://www.nasi.org/research/2011/governance-issues-health-insurance-exchanges</vt:lpwstr>
      </vt:variant>
      <vt:variant>
        <vt:lpwstr/>
      </vt:variant>
      <vt:variant>
        <vt:i4>3211327</vt:i4>
      </vt:variant>
      <vt:variant>
        <vt:i4>3</vt:i4>
      </vt:variant>
      <vt:variant>
        <vt:i4>0</vt:i4>
      </vt:variant>
      <vt:variant>
        <vt:i4>5</vt:i4>
      </vt:variant>
      <vt:variant>
        <vt:lpwstr>http://www.nasi.org/research/2011/designing-exchange-toolkit-state-policymakers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Corlette</dc:creator>
  <cp:lastModifiedBy>Michelle Conde</cp:lastModifiedBy>
  <cp:revision>2</cp:revision>
  <cp:lastPrinted>2018-03-22T16:22:00Z</cp:lastPrinted>
  <dcterms:created xsi:type="dcterms:W3CDTF">2018-03-22T18:41:00Z</dcterms:created>
  <dcterms:modified xsi:type="dcterms:W3CDTF">2018-03-22T18:41:00Z</dcterms:modified>
</cp:coreProperties>
</file>