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20159908"/>
    <w:bookmarkEnd w:id="0"/>
    <w:p w:rsidR="001F6C58" w:rsidRDefault="001F6C58" w:rsidP="00401E59">
      <w:pPr>
        <w:ind w:left="900"/>
      </w:pPr>
      <w:r>
        <w:object w:dxaOrig="936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5pt" o:ole="">
            <v:imagedata r:id="rId5" o:title=""/>
          </v:shape>
          <o:OLEObject Type="Embed" ProgID="Word.Document.12" ShapeID="_x0000_i1025" DrawAspect="Content" ObjectID="_1520160407" r:id="rId6">
            <o:FieldCodes>\s</o:FieldCodes>
          </o:OLEObject>
        </w:object>
      </w:r>
      <w:r w:rsidR="00101101">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1463675</wp:posOffset>
                </wp:positionV>
                <wp:extent cx="6515100" cy="7677150"/>
                <wp:effectExtent l="0" t="0" r="0" b="0"/>
                <wp:wrapTight wrapText="bothSides">
                  <wp:wrapPolygon edited="0">
                    <wp:start x="0" y="0"/>
                    <wp:lineTo x="0" y="21546"/>
                    <wp:lineTo x="21537" y="21546"/>
                    <wp:lineTo x="2153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67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1101" w:rsidRPr="001F6C58" w:rsidRDefault="00101101" w:rsidP="00101101">
                            <w:pPr>
                              <w:rPr>
                                <w:rFonts w:ascii="Gotham Light" w:hAnsi="Gotham Light"/>
                                <w:sz w:val="22"/>
                                <w:szCs w:val="22"/>
                              </w:rPr>
                            </w:pPr>
                            <w:r w:rsidRPr="001F6C58">
                              <w:rPr>
                                <w:rFonts w:ascii="Gotham Light" w:hAnsi="Gotham Light"/>
                                <w:sz w:val="22"/>
                                <w:szCs w:val="22"/>
                              </w:rPr>
                              <w:t xml:space="preserve">Georgians for a Healthy Future (GHF) submitted </w:t>
                            </w:r>
                            <w:hyperlink r:id="rId7" w:history="1">
                              <w:r w:rsidRPr="001F6C58">
                                <w:rPr>
                                  <w:rStyle w:val="Hyperlink"/>
                                  <w:rFonts w:ascii="Gotham Light" w:hAnsi="Gotham Light"/>
                                  <w:sz w:val="22"/>
                                  <w:szCs w:val="22"/>
                                </w:rPr>
                                <w:t>comments</w:t>
                              </w:r>
                            </w:hyperlink>
                            <w:r w:rsidRPr="001F6C58">
                              <w:rPr>
                                <w:rFonts w:ascii="Gotham Light" w:hAnsi="Gotham Light"/>
                                <w:sz w:val="22"/>
                                <w:szCs w:val="22"/>
                              </w:rPr>
                              <w:t xml:space="preserve"> to the Centers for Medicare and Medicaid Services (CMS) on the proposed 2017 Benefit and Payment Parameters </w:t>
                            </w:r>
                            <w:hyperlink r:id="rId8" w:history="1">
                              <w:r w:rsidRPr="001F6C58">
                                <w:rPr>
                                  <w:rStyle w:val="Hyperlink"/>
                                  <w:rFonts w:ascii="Gotham Light" w:hAnsi="Gotham Light"/>
                                  <w:sz w:val="22"/>
                                  <w:szCs w:val="22"/>
                                </w:rPr>
                                <w:t>rule</w:t>
                              </w:r>
                            </w:hyperlink>
                            <w:r w:rsidRPr="001F6C58">
                              <w:rPr>
                                <w:rFonts w:ascii="Gotham Light" w:hAnsi="Gotham Light"/>
                                <w:sz w:val="22"/>
                                <w:szCs w:val="22"/>
                              </w:rPr>
                              <w:t xml:space="preserve"> in December 2015. CMS issued the </w:t>
                            </w:r>
                            <w:hyperlink r:id="rId9" w:history="1">
                              <w:r w:rsidRPr="001F6C58">
                                <w:rPr>
                                  <w:rStyle w:val="Hyperlink"/>
                                  <w:rFonts w:ascii="Gotham Light" w:hAnsi="Gotham Light"/>
                                  <w:sz w:val="22"/>
                                  <w:szCs w:val="22"/>
                                </w:rPr>
                                <w:t>final rule</w:t>
                              </w:r>
                            </w:hyperlink>
                            <w:r w:rsidRPr="001F6C58">
                              <w:rPr>
                                <w:rFonts w:ascii="Gotham Light" w:hAnsi="Gotham Light"/>
                                <w:sz w:val="22"/>
                                <w:szCs w:val="22"/>
                              </w:rPr>
                              <w:t xml:space="preserve"> in March 2016. Below are highlights from the proposed and final rules, and GHF’s position on provisions for 2017. </w:t>
                            </w:r>
                          </w:p>
                          <w:p w:rsidR="00101101" w:rsidRPr="001F6C58" w:rsidRDefault="00101101" w:rsidP="00101101">
                            <w:pPr>
                              <w:pStyle w:val="NormalWeb"/>
                              <w:contextualSpacing/>
                              <w:rPr>
                                <w:rFonts w:ascii="Gotham Light" w:hAnsi="Gotham Light"/>
                                <w:b/>
                                <w:sz w:val="22"/>
                                <w:szCs w:val="22"/>
                                <w:u w:val="single"/>
                              </w:rPr>
                            </w:pPr>
                            <w:r w:rsidRPr="001F6C58">
                              <w:rPr>
                                <w:rFonts w:ascii="Gotham Light" w:hAnsi="Gotham Light"/>
                                <w:b/>
                                <w:sz w:val="22"/>
                                <w:szCs w:val="22"/>
                                <w:u w:val="single"/>
                              </w:rPr>
                              <w:t xml:space="preserve">Part 154 – Health Insurance Issuer Rate Increases: Disclosure and Review Requirements </w:t>
                            </w:r>
                          </w:p>
                          <w:p w:rsidR="00101101" w:rsidRPr="001F6C58" w:rsidRDefault="00101101" w:rsidP="00101101">
                            <w:pPr>
                              <w:pStyle w:val="NormalWeb"/>
                              <w:contextualSpacing/>
                              <w:rPr>
                                <w:rFonts w:ascii="Gotham Light" w:hAnsi="Gotham Light"/>
                                <w:b/>
                                <w:sz w:val="22"/>
                                <w:szCs w:val="22"/>
                              </w:rPr>
                            </w:pPr>
                            <w:r w:rsidRPr="001F6C58">
                              <w:rPr>
                                <w:rFonts w:ascii="Gotham Light" w:hAnsi="Gotham Light"/>
                                <w:b/>
                                <w:sz w:val="22"/>
                                <w:szCs w:val="22"/>
                              </w:rPr>
                              <w:t xml:space="preserve">§154.215 Submission of Rate Filing Justification </w:t>
                            </w:r>
                          </w:p>
                          <w:p w:rsidR="00101101" w:rsidRPr="001F6C58" w:rsidRDefault="00101101" w:rsidP="00101101">
                            <w:pPr>
                              <w:pStyle w:val="NormalWeb"/>
                              <w:contextualSpacing/>
                              <w:rPr>
                                <w:rFonts w:ascii="Gotham Light" w:hAnsi="Gotham Light"/>
                                <w:b/>
                                <w:sz w:val="22"/>
                                <w:szCs w:val="22"/>
                              </w:rPr>
                            </w:pPr>
                          </w:p>
                          <w:p w:rsidR="00101101" w:rsidRPr="001F6C58" w:rsidRDefault="00101101" w:rsidP="00101101">
                            <w:pPr>
                              <w:pStyle w:val="NormalWeb"/>
                              <w:contextualSpacing/>
                              <w:rPr>
                                <w:rFonts w:ascii="Gotham Light" w:hAnsi="Gotham Light"/>
                                <w:sz w:val="22"/>
                                <w:szCs w:val="22"/>
                              </w:rPr>
                            </w:pPr>
                            <w:r w:rsidRPr="001F6C58">
                              <w:rPr>
                                <w:rFonts w:ascii="Gotham Light" w:hAnsi="Gotham Light"/>
                                <w:b/>
                                <w:sz w:val="22"/>
                                <w:szCs w:val="22"/>
                              </w:rPr>
                              <w:t>Proposed Rule:</w:t>
                            </w:r>
                            <w:r w:rsidRPr="001F6C58">
                              <w:rPr>
                                <w:rFonts w:ascii="Gotham Light" w:hAnsi="Gotham Light"/>
                                <w:sz w:val="22"/>
                                <w:szCs w:val="22"/>
                              </w:rPr>
                              <w:t xml:space="preserve"> Require that issuers submit a Rate Filing Justification for all single risk pool coverage products in the individual, small group or merged markets not only when they are planning to increase or decrease a rate, or not modify at all.</w:t>
                            </w:r>
                          </w:p>
                          <w:p w:rsidR="00101101" w:rsidRPr="001F6C58" w:rsidRDefault="00101101" w:rsidP="00101101">
                            <w:pPr>
                              <w:pStyle w:val="NormalWeb"/>
                              <w:contextualSpacing/>
                              <w:rPr>
                                <w:rFonts w:ascii="Gotham Light" w:hAnsi="Gotham Light"/>
                                <w:sz w:val="22"/>
                                <w:szCs w:val="22"/>
                              </w:rPr>
                            </w:pPr>
                            <w:r w:rsidRPr="001F6C58">
                              <w:rPr>
                                <w:rFonts w:ascii="Gotham Light" w:hAnsi="Gotham Light"/>
                                <w:b/>
                                <w:sz w:val="22"/>
                                <w:szCs w:val="22"/>
                              </w:rPr>
                              <w:t xml:space="preserve">Final Rule: </w:t>
                            </w:r>
                            <w:r w:rsidRPr="001F6C58">
                              <w:rPr>
                                <w:rFonts w:ascii="Gotham Light" w:hAnsi="Gotham Light"/>
                                <w:sz w:val="22"/>
                                <w:szCs w:val="22"/>
                              </w:rPr>
                              <w:t xml:space="preserve">The provisions in the proposed rule were adopted. </w:t>
                            </w:r>
                          </w:p>
                          <w:p w:rsidR="001F6C58" w:rsidRDefault="00101101" w:rsidP="001F6C58">
                            <w:pPr>
                              <w:pStyle w:val="NormalWeb"/>
                              <w:contextualSpacing/>
                              <w:rPr>
                                <w:rFonts w:ascii="Gotham Light" w:hAnsi="Gotham Light"/>
                                <w:sz w:val="22"/>
                                <w:szCs w:val="22"/>
                              </w:rPr>
                            </w:pPr>
                            <w:r w:rsidRPr="001F6C58">
                              <w:rPr>
                                <w:rFonts w:ascii="Gotham Light" w:hAnsi="Gotham Light"/>
                                <w:b/>
                                <w:sz w:val="22"/>
                                <w:szCs w:val="22"/>
                              </w:rPr>
                              <w:t>GHF Position:</w:t>
                            </w:r>
                            <w:r w:rsidRPr="001F6C58">
                              <w:rPr>
                                <w:rFonts w:ascii="Gotham Light" w:hAnsi="Gotham Light"/>
                                <w:sz w:val="22"/>
                                <w:szCs w:val="22"/>
                              </w:rPr>
                              <w:t xml:space="preserve"> We support CMS’s decision to expand what information is disclosed to include all proposed rates because it gives consumers a more complete understanding of the changes in insurance rates. </w:t>
                            </w:r>
                          </w:p>
                          <w:p w:rsidR="001F6C58" w:rsidRDefault="001F6C58" w:rsidP="00101101">
                            <w:pPr>
                              <w:pStyle w:val="NormalWeb"/>
                              <w:contextualSpacing/>
                              <w:rPr>
                                <w:rFonts w:ascii="Gotham Light" w:hAnsi="Gotham Light"/>
                                <w:b/>
                                <w:sz w:val="22"/>
                                <w:szCs w:val="22"/>
                              </w:rPr>
                            </w:pPr>
                          </w:p>
                          <w:p w:rsidR="00101101" w:rsidRPr="001F6C58" w:rsidRDefault="00101101" w:rsidP="00101101">
                            <w:pPr>
                              <w:pStyle w:val="NormalWeb"/>
                              <w:contextualSpacing/>
                              <w:rPr>
                                <w:rFonts w:ascii="Gotham Light" w:hAnsi="Gotham Light"/>
                                <w:b/>
                                <w:sz w:val="22"/>
                                <w:szCs w:val="22"/>
                              </w:rPr>
                            </w:pPr>
                            <w:r w:rsidRPr="001F6C58">
                              <w:rPr>
                                <w:rFonts w:ascii="Gotham Light" w:hAnsi="Gotham Light"/>
                                <w:b/>
                                <w:sz w:val="22"/>
                                <w:szCs w:val="22"/>
                              </w:rPr>
                              <w:t xml:space="preserve">§154.301 CMS’s Determinations of Effective Rate Review Programs </w:t>
                            </w:r>
                          </w:p>
                          <w:p w:rsidR="00101101" w:rsidRPr="001F6C58" w:rsidRDefault="00101101" w:rsidP="00101101">
                            <w:pPr>
                              <w:pStyle w:val="NormalWeb"/>
                              <w:contextualSpacing/>
                              <w:rPr>
                                <w:rFonts w:ascii="Gotham Light" w:hAnsi="Gotham Light"/>
                                <w:b/>
                                <w:sz w:val="22"/>
                                <w:szCs w:val="22"/>
                              </w:rPr>
                            </w:pPr>
                          </w:p>
                          <w:p w:rsidR="00101101" w:rsidRPr="001F6C58" w:rsidRDefault="00101101" w:rsidP="00101101">
                            <w:pPr>
                              <w:pStyle w:val="NormalWeb"/>
                              <w:contextualSpacing/>
                              <w:rPr>
                                <w:rFonts w:ascii="Gotham Light" w:hAnsi="Gotham Light"/>
                                <w:bCs/>
                                <w:i/>
                                <w:sz w:val="22"/>
                                <w:szCs w:val="22"/>
                              </w:rPr>
                            </w:pPr>
                            <w:r w:rsidRPr="001F6C58">
                              <w:rPr>
                                <w:rFonts w:ascii="Gotham Light" w:hAnsi="Gotham Light"/>
                                <w:b/>
                                <w:sz w:val="22"/>
                                <w:szCs w:val="22"/>
                              </w:rPr>
                              <w:t xml:space="preserve">Proposed Rule: </w:t>
                            </w:r>
                            <w:r w:rsidRPr="001F6C58">
                              <w:rPr>
                                <w:rFonts w:ascii="Gotham Light" w:hAnsi="Gotham Light"/>
                                <w:sz w:val="22"/>
                                <w:szCs w:val="22"/>
                              </w:rPr>
                              <w:t>Make all proposed rate filing information publicly available, if it is not trade secret or confidential commercial or financial information. For states to be considered to have effective rate review programs they must also make information available to the public on proposed rate increases subject to review and final rate increases, and they must do so at a uniform time</w:t>
                            </w:r>
                            <w:r w:rsidRPr="001F6C58">
                              <w:rPr>
                                <w:rFonts w:ascii="Gotham Light" w:hAnsi="Gotham Light"/>
                                <w:bCs/>
                                <w:i/>
                                <w:sz w:val="22"/>
                                <w:szCs w:val="22"/>
                              </w:rPr>
                              <w:t>.  </w:t>
                            </w:r>
                          </w:p>
                          <w:p w:rsidR="00101101" w:rsidRPr="001F6C58" w:rsidRDefault="00101101" w:rsidP="00101101">
                            <w:pPr>
                              <w:pStyle w:val="NormalWeb"/>
                              <w:contextualSpacing/>
                              <w:rPr>
                                <w:rFonts w:ascii="Gotham Light" w:hAnsi="Gotham Light"/>
                                <w:bCs/>
                                <w:sz w:val="22"/>
                                <w:szCs w:val="22"/>
                              </w:rPr>
                            </w:pPr>
                            <w:r w:rsidRPr="001F6C58">
                              <w:rPr>
                                <w:rFonts w:ascii="Gotham Light" w:hAnsi="Gotham Light"/>
                                <w:b/>
                                <w:bCs/>
                                <w:sz w:val="22"/>
                                <w:szCs w:val="22"/>
                              </w:rPr>
                              <w:t xml:space="preserve">Final Rule: </w:t>
                            </w:r>
                            <w:r w:rsidRPr="001F6C58">
                              <w:rPr>
                                <w:rFonts w:ascii="Gotham Light" w:hAnsi="Gotham Light"/>
                                <w:bCs/>
                                <w:sz w:val="22"/>
                                <w:szCs w:val="22"/>
                              </w:rPr>
                              <w:t xml:space="preserve">The provisions in the proposed rule were adopted. CMS released a bulletin on timing of rate filing submissions. Final rates will be effective no later than the first day of open enrollment, November 1, 2016. </w:t>
                            </w:r>
                          </w:p>
                          <w:p w:rsidR="00101101" w:rsidRDefault="00101101" w:rsidP="00101101">
                            <w:pPr>
                              <w:pStyle w:val="NormalWeb"/>
                              <w:pBdr>
                                <w:bottom w:val="single" w:sz="12" w:space="1" w:color="auto"/>
                              </w:pBdr>
                              <w:contextualSpacing/>
                              <w:rPr>
                                <w:rFonts w:ascii="Gotham Light" w:hAnsi="Gotham Light"/>
                                <w:bCs/>
                                <w:sz w:val="22"/>
                                <w:szCs w:val="22"/>
                              </w:rPr>
                            </w:pPr>
                            <w:r w:rsidRPr="001F6C58">
                              <w:rPr>
                                <w:rFonts w:ascii="Gotham Light" w:hAnsi="Gotham Light"/>
                                <w:b/>
                                <w:bCs/>
                                <w:sz w:val="22"/>
                                <w:szCs w:val="22"/>
                              </w:rPr>
                              <w:t>GHF Position:</w:t>
                            </w:r>
                            <w:r w:rsidRPr="001F6C58">
                              <w:rPr>
                                <w:rFonts w:ascii="Gotham Light" w:hAnsi="Gotham Light"/>
                                <w:bCs/>
                                <w:sz w:val="22"/>
                                <w:szCs w:val="22"/>
                              </w:rPr>
                              <w:t xml:space="preserve"> We commend CMS for taking steps to ensure consumers have access to all proposed rate filings and making information on final rate increases publicly available prior to the first day of the annual open enrollment period. For future rule making, we recommend adding the following to an effective rate review program: a sixty-day comment period on all proposed rate increases and requirement for state’s website to prominently display all filing documents. </w:t>
                            </w:r>
                            <w:bookmarkStart w:id="1" w:name="_GoBack"/>
                            <w:bookmarkEnd w:id="1"/>
                          </w:p>
                          <w:p w:rsidR="001F6C58" w:rsidRDefault="001F6C58" w:rsidP="00101101">
                            <w:pPr>
                              <w:pStyle w:val="NormalWeb"/>
                              <w:pBdr>
                                <w:bottom w:val="single" w:sz="12" w:space="1" w:color="auto"/>
                              </w:pBdr>
                              <w:contextualSpacing/>
                              <w:rPr>
                                <w:rFonts w:ascii="Gotham Light" w:hAnsi="Gotham Light"/>
                                <w:bCs/>
                                <w:sz w:val="22"/>
                                <w:szCs w:val="22"/>
                              </w:rPr>
                            </w:pPr>
                          </w:p>
                          <w:p w:rsidR="001F6C58" w:rsidRPr="00802D87" w:rsidRDefault="001F6C58" w:rsidP="001F6C58">
                            <w:pPr>
                              <w:autoSpaceDE w:val="0"/>
                              <w:autoSpaceDN w:val="0"/>
                              <w:adjustRightInd w:val="0"/>
                              <w:spacing w:after="0"/>
                              <w:rPr>
                                <w:rFonts w:ascii="Gotham Light" w:eastAsia="Times New Roman" w:hAnsi="Gotham Light"/>
                                <w:b/>
                                <w:sz w:val="22"/>
                                <w:u w:val="single"/>
                              </w:rPr>
                            </w:pPr>
                            <w:r w:rsidRPr="00802D87">
                              <w:rPr>
                                <w:rFonts w:ascii="Gotham Light" w:eastAsia="Times New Roman" w:hAnsi="Gotham Light"/>
                                <w:b/>
                                <w:sz w:val="22"/>
                                <w:u w:val="single"/>
                              </w:rPr>
                              <w:t>Part 156 – Health Insurance Issuer Standards under the Affordable Care Act, Including Standards Related to Exchanges</w:t>
                            </w:r>
                          </w:p>
                          <w:p w:rsidR="001F6C58" w:rsidRPr="00802D87" w:rsidRDefault="001F6C58" w:rsidP="001F6C58">
                            <w:pPr>
                              <w:autoSpaceDE w:val="0"/>
                              <w:autoSpaceDN w:val="0"/>
                              <w:adjustRightInd w:val="0"/>
                              <w:spacing w:after="0"/>
                              <w:rPr>
                                <w:rFonts w:ascii="Gotham Light" w:eastAsia="Times New Roman" w:hAnsi="Gotham Light"/>
                                <w:b/>
                                <w:sz w:val="22"/>
                                <w:u w:val="single"/>
                              </w:rPr>
                            </w:pPr>
                            <w:r w:rsidRPr="00802D87">
                              <w:rPr>
                                <w:rFonts w:ascii="Gotham Light" w:hAnsi="Gotham Light"/>
                                <w:b/>
                                <w:bCs/>
                                <w:sz w:val="22"/>
                              </w:rPr>
                              <w:t>§ 156.230 Network Adequacy Standards</w:t>
                            </w:r>
                          </w:p>
                          <w:p w:rsidR="001F6C58" w:rsidRPr="00802D87" w:rsidRDefault="001F6C58" w:rsidP="001F6C58">
                            <w:pPr>
                              <w:spacing w:after="0"/>
                              <w:rPr>
                                <w:rFonts w:ascii="Gotham Light" w:hAnsi="Gotham Light"/>
                                <w:sz w:val="22"/>
                              </w:rPr>
                            </w:pPr>
                            <w:r w:rsidRPr="00802D87">
                              <w:rPr>
                                <w:rFonts w:ascii="Gotham Light" w:hAnsi="Gotham Light"/>
                                <w:b/>
                                <w:bCs/>
                                <w:sz w:val="22"/>
                              </w:rPr>
                              <w:t>State Selection of Minimum Network Adequacy Standards</w:t>
                            </w:r>
                            <w:r w:rsidRPr="00802D87">
                              <w:rPr>
                                <w:rFonts w:ascii="Gotham Light" w:hAnsi="Gotham Light"/>
                                <w:sz w:val="22"/>
                              </w:rPr>
                              <w:t> </w:t>
                            </w:r>
                          </w:p>
                          <w:p w:rsidR="001F6C58" w:rsidRDefault="001F6C58" w:rsidP="001F6C58">
                            <w:pPr>
                              <w:spacing w:after="0"/>
                              <w:rPr>
                                <w:rFonts w:ascii="Gotham Light" w:hAnsi="Gotham Light"/>
                                <w:sz w:val="22"/>
                              </w:rPr>
                            </w:pPr>
                            <w:r w:rsidRPr="00802D87">
                              <w:rPr>
                                <w:rFonts w:ascii="Gotham Light" w:hAnsi="Gotham Light"/>
                                <w:b/>
                                <w:sz w:val="22"/>
                              </w:rPr>
                              <w:t>Proposed Rule:</w:t>
                            </w:r>
                            <w:r w:rsidRPr="00802D87">
                              <w:rPr>
                                <w:rFonts w:ascii="Gotham Light" w:hAnsi="Gotham Light"/>
                                <w:sz w:val="22"/>
                              </w:rPr>
                              <w:t xml:space="preserve"> Federally Facilitated Exchange (FFE) states are required to set quantifiable network adequacy metrics for time and distance standards and prospective minimum provider-enrollee ratios for the specialties with the highest utilization rate for its state. FFE states that do not set standards will be subject to a federal default. CMS also proposed to clarify process for determining network adequacy for qualified health plans (QHP) that use a tiered network. </w:t>
                            </w:r>
                          </w:p>
                          <w:p w:rsidR="001F6C58" w:rsidRDefault="001F6C58" w:rsidP="001F6C58">
                            <w:pPr>
                              <w:spacing w:after="0"/>
                              <w:rPr>
                                <w:rFonts w:ascii="Gotham Light" w:hAnsi="Gotham Light"/>
                                <w:sz w:val="22"/>
                              </w:rPr>
                            </w:pPr>
                          </w:p>
                          <w:p w:rsidR="001F6C58" w:rsidRDefault="001F6C58" w:rsidP="001F6C58">
                            <w:pPr>
                              <w:spacing w:after="0"/>
                              <w:rPr>
                                <w:rFonts w:ascii="Gotham Light" w:hAnsi="Gotham Light"/>
                                <w:sz w:val="22"/>
                              </w:rPr>
                            </w:pPr>
                          </w:p>
                          <w:p w:rsidR="001F6C58" w:rsidRDefault="001F6C58" w:rsidP="001F6C58">
                            <w:pPr>
                              <w:spacing w:after="0"/>
                              <w:rPr>
                                <w:rFonts w:ascii="Gotham Light" w:hAnsi="Gotham Light"/>
                                <w:sz w:val="22"/>
                              </w:rPr>
                            </w:pPr>
                          </w:p>
                          <w:p w:rsidR="001F6C58" w:rsidRDefault="001F6C58" w:rsidP="001F6C58">
                            <w:pPr>
                              <w:spacing w:after="0"/>
                              <w:rPr>
                                <w:rFonts w:ascii="Gotham Light" w:hAnsi="Gotham Light"/>
                                <w:sz w:val="22"/>
                              </w:rPr>
                            </w:pPr>
                          </w:p>
                          <w:p w:rsidR="001F6C58" w:rsidRPr="00802D87" w:rsidRDefault="001F6C58" w:rsidP="001F6C58">
                            <w:pPr>
                              <w:spacing w:after="0"/>
                              <w:rPr>
                                <w:rFonts w:ascii="Gotham Light" w:hAnsi="Gotham Light"/>
                                <w:sz w:val="22"/>
                              </w:rPr>
                            </w:pPr>
                          </w:p>
                          <w:p w:rsidR="001F6C58" w:rsidRDefault="001F6C58" w:rsidP="00101101">
                            <w:pPr>
                              <w:pStyle w:val="NormalWeb"/>
                              <w:contextualSpacing/>
                              <w:rPr>
                                <w:rFonts w:ascii="Gotham Light" w:hAnsi="Gotham Light"/>
                                <w:b/>
                                <w:sz w:val="22"/>
                                <w:szCs w:val="22"/>
                              </w:rPr>
                            </w:pPr>
                          </w:p>
                          <w:p w:rsidR="001F6C58" w:rsidRDefault="001F6C58" w:rsidP="00101101">
                            <w:pPr>
                              <w:pStyle w:val="NormalWeb"/>
                              <w:contextualSpacing/>
                              <w:rPr>
                                <w:rFonts w:ascii="Gotham Light" w:hAnsi="Gotham Light"/>
                                <w:b/>
                                <w:sz w:val="22"/>
                                <w:szCs w:val="22"/>
                              </w:rPr>
                            </w:pPr>
                          </w:p>
                          <w:p w:rsidR="001F6C58" w:rsidRDefault="001F6C58" w:rsidP="00101101">
                            <w:pPr>
                              <w:pStyle w:val="NormalWeb"/>
                              <w:contextualSpacing/>
                              <w:rPr>
                                <w:rFonts w:ascii="Gotham Light" w:hAnsi="Gotham Light"/>
                                <w:b/>
                                <w:sz w:val="22"/>
                                <w:szCs w:val="22"/>
                              </w:rPr>
                            </w:pPr>
                          </w:p>
                          <w:p w:rsidR="001F6C58" w:rsidRPr="001F6C58" w:rsidRDefault="001F6C58" w:rsidP="00101101">
                            <w:pPr>
                              <w:pStyle w:val="NormalWeb"/>
                              <w:contextualSpacing/>
                              <w:rPr>
                                <w:rFonts w:ascii="Gotham Light" w:hAnsi="Gotham Light"/>
                                <w:b/>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5.25pt;width:513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W6rw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" filled="f" stroked="f">
                <v:textbox inset="0,0,0,0">
                  <w:txbxContent>
                    <w:p w:rsidR="00101101" w:rsidRPr="001F6C58" w:rsidRDefault="00101101" w:rsidP="00101101">
                      <w:pPr>
                        <w:rPr>
                          <w:rFonts w:ascii="Gotham Light" w:hAnsi="Gotham Light"/>
                          <w:sz w:val="22"/>
                          <w:szCs w:val="22"/>
                        </w:rPr>
                      </w:pPr>
                      <w:r w:rsidRPr="001F6C58">
                        <w:rPr>
                          <w:rFonts w:ascii="Gotham Light" w:hAnsi="Gotham Light"/>
                          <w:sz w:val="22"/>
                          <w:szCs w:val="22"/>
                        </w:rPr>
                        <w:t xml:space="preserve">Georgians for a Healthy Future (GHF) submitted </w:t>
                      </w:r>
                      <w:hyperlink r:id="rId10" w:history="1">
                        <w:r w:rsidRPr="001F6C58">
                          <w:rPr>
                            <w:rStyle w:val="Hyperlink"/>
                            <w:rFonts w:ascii="Gotham Light" w:hAnsi="Gotham Light"/>
                            <w:sz w:val="22"/>
                            <w:szCs w:val="22"/>
                          </w:rPr>
                          <w:t>comments</w:t>
                        </w:r>
                      </w:hyperlink>
                      <w:r w:rsidRPr="001F6C58">
                        <w:rPr>
                          <w:rFonts w:ascii="Gotham Light" w:hAnsi="Gotham Light"/>
                          <w:sz w:val="22"/>
                          <w:szCs w:val="22"/>
                        </w:rPr>
                        <w:t xml:space="preserve"> to the Centers for Medicare and Medicaid Services (CMS) on the proposed 2017 Benefit and Payment Parameters </w:t>
                      </w:r>
                      <w:hyperlink r:id="rId11" w:history="1">
                        <w:r w:rsidRPr="001F6C58">
                          <w:rPr>
                            <w:rStyle w:val="Hyperlink"/>
                            <w:rFonts w:ascii="Gotham Light" w:hAnsi="Gotham Light"/>
                            <w:sz w:val="22"/>
                            <w:szCs w:val="22"/>
                          </w:rPr>
                          <w:t>rule</w:t>
                        </w:r>
                      </w:hyperlink>
                      <w:r w:rsidRPr="001F6C58">
                        <w:rPr>
                          <w:rFonts w:ascii="Gotham Light" w:hAnsi="Gotham Light"/>
                          <w:sz w:val="22"/>
                          <w:szCs w:val="22"/>
                        </w:rPr>
                        <w:t xml:space="preserve"> in December 2015. CMS issued the </w:t>
                      </w:r>
                      <w:hyperlink r:id="rId12" w:history="1">
                        <w:r w:rsidRPr="001F6C58">
                          <w:rPr>
                            <w:rStyle w:val="Hyperlink"/>
                            <w:rFonts w:ascii="Gotham Light" w:hAnsi="Gotham Light"/>
                            <w:sz w:val="22"/>
                            <w:szCs w:val="22"/>
                          </w:rPr>
                          <w:t>final rule</w:t>
                        </w:r>
                      </w:hyperlink>
                      <w:r w:rsidRPr="001F6C58">
                        <w:rPr>
                          <w:rFonts w:ascii="Gotham Light" w:hAnsi="Gotham Light"/>
                          <w:sz w:val="22"/>
                          <w:szCs w:val="22"/>
                        </w:rPr>
                        <w:t xml:space="preserve"> in March 2016. Below are highlights from the proposed and final rules, and GHF’s position on provisions for 2017. </w:t>
                      </w:r>
                    </w:p>
                    <w:p w:rsidR="00101101" w:rsidRPr="001F6C58" w:rsidRDefault="00101101" w:rsidP="00101101">
                      <w:pPr>
                        <w:pStyle w:val="NormalWeb"/>
                        <w:contextualSpacing/>
                        <w:rPr>
                          <w:rFonts w:ascii="Gotham Light" w:hAnsi="Gotham Light"/>
                          <w:b/>
                          <w:sz w:val="22"/>
                          <w:szCs w:val="22"/>
                          <w:u w:val="single"/>
                        </w:rPr>
                      </w:pPr>
                      <w:r w:rsidRPr="001F6C58">
                        <w:rPr>
                          <w:rFonts w:ascii="Gotham Light" w:hAnsi="Gotham Light"/>
                          <w:b/>
                          <w:sz w:val="22"/>
                          <w:szCs w:val="22"/>
                          <w:u w:val="single"/>
                        </w:rPr>
                        <w:t xml:space="preserve">Part 154 – Health Insurance Issuer Rate Increases: Disclosure and Review Requirements </w:t>
                      </w:r>
                    </w:p>
                    <w:p w:rsidR="00101101" w:rsidRPr="001F6C58" w:rsidRDefault="00101101" w:rsidP="00101101">
                      <w:pPr>
                        <w:pStyle w:val="NormalWeb"/>
                        <w:contextualSpacing/>
                        <w:rPr>
                          <w:rFonts w:ascii="Gotham Light" w:hAnsi="Gotham Light"/>
                          <w:b/>
                          <w:sz w:val="22"/>
                          <w:szCs w:val="22"/>
                        </w:rPr>
                      </w:pPr>
                      <w:r w:rsidRPr="001F6C58">
                        <w:rPr>
                          <w:rFonts w:ascii="Gotham Light" w:hAnsi="Gotham Light"/>
                          <w:b/>
                          <w:sz w:val="22"/>
                          <w:szCs w:val="22"/>
                        </w:rPr>
                        <w:t xml:space="preserve">§154.215 Submission of Rate Filing Justification </w:t>
                      </w:r>
                    </w:p>
                    <w:p w:rsidR="00101101" w:rsidRPr="001F6C58" w:rsidRDefault="00101101" w:rsidP="00101101">
                      <w:pPr>
                        <w:pStyle w:val="NormalWeb"/>
                        <w:contextualSpacing/>
                        <w:rPr>
                          <w:rFonts w:ascii="Gotham Light" w:hAnsi="Gotham Light"/>
                          <w:b/>
                          <w:sz w:val="22"/>
                          <w:szCs w:val="22"/>
                        </w:rPr>
                      </w:pPr>
                    </w:p>
                    <w:p w:rsidR="00101101" w:rsidRPr="001F6C58" w:rsidRDefault="00101101" w:rsidP="00101101">
                      <w:pPr>
                        <w:pStyle w:val="NormalWeb"/>
                        <w:contextualSpacing/>
                        <w:rPr>
                          <w:rFonts w:ascii="Gotham Light" w:hAnsi="Gotham Light"/>
                          <w:sz w:val="22"/>
                          <w:szCs w:val="22"/>
                        </w:rPr>
                      </w:pPr>
                      <w:r w:rsidRPr="001F6C58">
                        <w:rPr>
                          <w:rFonts w:ascii="Gotham Light" w:hAnsi="Gotham Light"/>
                          <w:b/>
                          <w:sz w:val="22"/>
                          <w:szCs w:val="22"/>
                        </w:rPr>
                        <w:t>Proposed Rule:</w:t>
                      </w:r>
                      <w:r w:rsidRPr="001F6C58">
                        <w:rPr>
                          <w:rFonts w:ascii="Gotham Light" w:hAnsi="Gotham Light"/>
                          <w:sz w:val="22"/>
                          <w:szCs w:val="22"/>
                        </w:rPr>
                        <w:t xml:space="preserve"> Require that issuers submit a Rate Filing Justification for all single risk pool coverage products in the individual, small group or merged markets not only when they are planning to increase or decrease a rate, or not modify at all.</w:t>
                      </w:r>
                    </w:p>
                    <w:p w:rsidR="00101101" w:rsidRPr="001F6C58" w:rsidRDefault="00101101" w:rsidP="00101101">
                      <w:pPr>
                        <w:pStyle w:val="NormalWeb"/>
                        <w:contextualSpacing/>
                        <w:rPr>
                          <w:rFonts w:ascii="Gotham Light" w:hAnsi="Gotham Light"/>
                          <w:sz w:val="22"/>
                          <w:szCs w:val="22"/>
                        </w:rPr>
                      </w:pPr>
                      <w:r w:rsidRPr="001F6C58">
                        <w:rPr>
                          <w:rFonts w:ascii="Gotham Light" w:hAnsi="Gotham Light"/>
                          <w:b/>
                          <w:sz w:val="22"/>
                          <w:szCs w:val="22"/>
                        </w:rPr>
                        <w:t xml:space="preserve">Final Rule: </w:t>
                      </w:r>
                      <w:r w:rsidRPr="001F6C58">
                        <w:rPr>
                          <w:rFonts w:ascii="Gotham Light" w:hAnsi="Gotham Light"/>
                          <w:sz w:val="22"/>
                          <w:szCs w:val="22"/>
                        </w:rPr>
                        <w:t xml:space="preserve">The provisions in the proposed rule were adopted. </w:t>
                      </w:r>
                    </w:p>
                    <w:p w:rsidR="001F6C58" w:rsidRDefault="00101101" w:rsidP="001F6C58">
                      <w:pPr>
                        <w:pStyle w:val="NormalWeb"/>
                        <w:contextualSpacing/>
                        <w:rPr>
                          <w:rFonts w:ascii="Gotham Light" w:hAnsi="Gotham Light"/>
                          <w:sz w:val="22"/>
                          <w:szCs w:val="22"/>
                        </w:rPr>
                      </w:pPr>
                      <w:r w:rsidRPr="001F6C58">
                        <w:rPr>
                          <w:rFonts w:ascii="Gotham Light" w:hAnsi="Gotham Light"/>
                          <w:b/>
                          <w:sz w:val="22"/>
                          <w:szCs w:val="22"/>
                        </w:rPr>
                        <w:t>GHF Position:</w:t>
                      </w:r>
                      <w:r w:rsidRPr="001F6C58">
                        <w:rPr>
                          <w:rFonts w:ascii="Gotham Light" w:hAnsi="Gotham Light"/>
                          <w:sz w:val="22"/>
                          <w:szCs w:val="22"/>
                        </w:rPr>
                        <w:t xml:space="preserve"> We support CMS’s decision to expand what information is disclosed to include all proposed rates because it gives consumers a more complete understanding of the changes in insurance rates. </w:t>
                      </w:r>
                    </w:p>
                    <w:p w:rsidR="001F6C58" w:rsidRDefault="001F6C58" w:rsidP="00101101">
                      <w:pPr>
                        <w:pStyle w:val="NormalWeb"/>
                        <w:contextualSpacing/>
                        <w:rPr>
                          <w:rFonts w:ascii="Gotham Light" w:hAnsi="Gotham Light"/>
                          <w:b/>
                          <w:sz w:val="22"/>
                          <w:szCs w:val="22"/>
                        </w:rPr>
                      </w:pPr>
                    </w:p>
                    <w:p w:rsidR="00101101" w:rsidRPr="001F6C58" w:rsidRDefault="00101101" w:rsidP="00101101">
                      <w:pPr>
                        <w:pStyle w:val="NormalWeb"/>
                        <w:contextualSpacing/>
                        <w:rPr>
                          <w:rFonts w:ascii="Gotham Light" w:hAnsi="Gotham Light"/>
                          <w:b/>
                          <w:sz w:val="22"/>
                          <w:szCs w:val="22"/>
                        </w:rPr>
                      </w:pPr>
                      <w:r w:rsidRPr="001F6C58">
                        <w:rPr>
                          <w:rFonts w:ascii="Gotham Light" w:hAnsi="Gotham Light"/>
                          <w:b/>
                          <w:sz w:val="22"/>
                          <w:szCs w:val="22"/>
                        </w:rPr>
                        <w:t xml:space="preserve">§154.301 CMS’s Determinations of Effective Rate Review Programs </w:t>
                      </w:r>
                    </w:p>
                    <w:p w:rsidR="00101101" w:rsidRPr="001F6C58" w:rsidRDefault="00101101" w:rsidP="00101101">
                      <w:pPr>
                        <w:pStyle w:val="NormalWeb"/>
                        <w:contextualSpacing/>
                        <w:rPr>
                          <w:rFonts w:ascii="Gotham Light" w:hAnsi="Gotham Light"/>
                          <w:b/>
                          <w:sz w:val="22"/>
                          <w:szCs w:val="22"/>
                        </w:rPr>
                      </w:pPr>
                    </w:p>
                    <w:p w:rsidR="00101101" w:rsidRPr="001F6C58" w:rsidRDefault="00101101" w:rsidP="00101101">
                      <w:pPr>
                        <w:pStyle w:val="NormalWeb"/>
                        <w:contextualSpacing/>
                        <w:rPr>
                          <w:rFonts w:ascii="Gotham Light" w:hAnsi="Gotham Light"/>
                          <w:bCs/>
                          <w:i/>
                          <w:sz w:val="22"/>
                          <w:szCs w:val="22"/>
                        </w:rPr>
                      </w:pPr>
                      <w:r w:rsidRPr="001F6C58">
                        <w:rPr>
                          <w:rFonts w:ascii="Gotham Light" w:hAnsi="Gotham Light"/>
                          <w:b/>
                          <w:sz w:val="22"/>
                          <w:szCs w:val="22"/>
                        </w:rPr>
                        <w:t xml:space="preserve">Proposed Rule: </w:t>
                      </w:r>
                      <w:r w:rsidRPr="001F6C58">
                        <w:rPr>
                          <w:rFonts w:ascii="Gotham Light" w:hAnsi="Gotham Light"/>
                          <w:sz w:val="22"/>
                          <w:szCs w:val="22"/>
                        </w:rPr>
                        <w:t>Make all proposed rate filing information publicly available, if it is not trade secret or confidential commercial or financial information. For states to be considered to have effective rate review programs they must also make information available to the public on proposed rate increases subject to review and final rate increases, and they must do so at a uniform time</w:t>
                      </w:r>
                      <w:r w:rsidRPr="001F6C58">
                        <w:rPr>
                          <w:rFonts w:ascii="Gotham Light" w:hAnsi="Gotham Light"/>
                          <w:bCs/>
                          <w:i/>
                          <w:sz w:val="22"/>
                          <w:szCs w:val="22"/>
                        </w:rPr>
                        <w:t>.  </w:t>
                      </w:r>
                    </w:p>
                    <w:p w:rsidR="00101101" w:rsidRPr="001F6C58" w:rsidRDefault="00101101" w:rsidP="00101101">
                      <w:pPr>
                        <w:pStyle w:val="NormalWeb"/>
                        <w:contextualSpacing/>
                        <w:rPr>
                          <w:rFonts w:ascii="Gotham Light" w:hAnsi="Gotham Light"/>
                          <w:bCs/>
                          <w:sz w:val="22"/>
                          <w:szCs w:val="22"/>
                        </w:rPr>
                      </w:pPr>
                      <w:r w:rsidRPr="001F6C58">
                        <w:rPr>
                          <w:rFonts w:ascii="Gotham Light" w:hAnsi="Gotham Light"/>
                          <w:b/>
                          <w:bCs/>
                          <w:sz w:val="22"/>
                          <w:szCs w:val="22"/>
                        </w:rPr>
                        <w:t xml:space="preserve">Final Rule: </w:t>
                      </w:r>
                      <w:r w:rsidRPr="001F6C58">
                        <w:rPr>
                          <w:rFonts w:ascii="Gotham Light" w:hAnsi="Gotham Light"/>
                          <w:bCs/>
                          <w:sz w:val="22"/>
                          <w:szCs w:val="22"/>
                        </w:rPr>
                        <w:t xml:space="preserve">The provisions in the proposed rule were adopted. CMS released a bulletin on timing of rate filing submissions. Final rates will be effective no later than the first day of open enrollment, November 1, 2016. </w:t>
                      </w:r>
                    </w:p>
                    <w:p w:rsidR="00101101" w:rsidRDefault="00101101" w:rsidP="00101101">
                      <w:pPr>
                        <w:pStyle w:val="NormalWeb"/>
                        <w:pBdr>
                          <w:bottom w:val="single" w:sz="12" w:space="1" w:color="auto"/>
                        </w:pBdr>
                        <w:contextualSpacing/>
                        <w:rPr>
                          <w:rFonts w:ascii="Gotham Light" w:hAnsi="Gotham Light"/>
                          <w:bCs/>
                          <w:sz w:val="22"/>
                          <w:szCs w:val="22"/>
                        </w:rPr>
                      </w:pPr>
                      <w:r w:rsidRPr="001F6C58">
                        <w:rPr>
                          <w:rFonts w:ascii="Gotham Light" w:hAnsi="Gotham Light"/>
                          <w:b/>
                          <w:bCs/>
                          <w:sz w:val="22"/>
                          <w:szCs w:val="22"/>
                        </w:rPr>
                        <w:t>GHF Position:</w:t>
                      </w:r>
                      <w:r w:rsidRPr="001F6C58">
                        <w:rPr>
                          <w:rFonts w:ascii="Gotham Light" w:hAnsi="Gotham Light"/>
                          <w:bCs/>
                          <w:sz w:val="22"/>
                          <w:szCs w:val="22"/>
                        </w:rPr>
                        <w:t xml:space="preserve"> We commend CMS for taking steps to ensure consumers have access to all proposed rate filings and making information on final rate increases publicly available prior to the first day of the annual open enrollment period. For future rule making, we recommend adding the following to an effective rate review program: a sixty-day comment period on all proposed rate increases and requirement for state’s website to prominently display all filing documents. </w:t>
                      </w:r>
                      <w:bookmarkStart w:id="2" w:name="_GoBack"/>
                      <w:bookmarkEnd w:id="2"/>
                    </w:p>
                    <w:p w:rsidR="001F6C58" w:rsidRDefault="001F6C58" w:rsidP="00101101">
                      <w:pPr>
                        <w:pStyle w:val="NormalWeb"/>
                        <w:pBdr>
                          <w:bottom w:val="single" w:sz="12" w:space="1" w:color="auto"/>
                        </w:pBdr>
                        <w:contextualSpacing/>
                        <w:rPr>
                          <w:rFonts w:ascii="Gotham Light" w:hAnsi="Gotham Light"/>
                          <w:bCs/>
                          <w:sz w:val="22"/>
                          <w:szCs w:val="22"/>
                        </w:rPr>
                      </w:pPr>
                    </w:p>
                    <w:p w:rsidR="001F6C58" w:rsidRPr="00802D87" w:rsidRDefault="001F6C58" w:rsidP="001F6C58">
                      <w:pPr>
                        <w:autoSpaceDE w:val="0"/>
                        <w:autoSpaceDN w:val="0"/>
                        <w:adjustRightInd w:val="0"/>
                        <w:spacing w:after="0"/>
                        <w:rPr>
                          <w:rFonts w:ascii="Gotham Light" w:eastAsia="Times New Roman" w:hAnsi="Gotham Light"/>
                          <w:b/>
                          <w:sz w:val="22"/>
                          <w:u w:val="single"/>
                        </w:rPr>
                      </w:pPr>
                      <w:r w:rsidRPr="00802D87">
                        <w:rPr>
                          <w:rFonts w:ascii="Gotham Light" w:eastAsia="Times New Roman" w:hAnsi="Gotham Light"/>
                          <w:b/>
                          <w:sz w:val="22"/>
                          <w:u w:val="single"/>
                        </w:rPr>
                        <w:t>Part 156 – Health Insurance Issuer Standards under the Affordable Care Act, Including Standards Related to Exchanges</w:t>
                      </w:r>
                    </w:p>
                    <w:p w:rsidR="001F6C58" w:rsidRPr="00802D87" w:rsidRDefault="001F6C58" w:rsidP="001F6C58">
                      <w:pPr>
                        <w:autoSpaceDE w:val="0"/>
                        <w:autoSpaceDN w:val="0"/>
                        <w:adjustRightInd w:val="0"/>
                        <w:spacing w:after="0"/>
                        <w:rPr>
                          <w:rFonts w:ascii="Gotham Light" w:eastAsia="Times New Roman" w:hAnsi="Gotham Light"/>
                          <w:b/>
                          <w:sz w:val="22"/>
                          <w:u w:val="single"/>
                        </w:rPr>
                      </w:pPr>
                      <w:r w:rsidRPr="00802D87">
                        <w:rPr>
                          <w:rFonts w:ascii="Gotham Light" w:hAnsi="Gotham Light"/>
                          <w:b/>
                          <w:bCs/>
                          <w:sz w:val="22"/>
                        </w:rPr>
                        <w:t>§ 156.230 Network Adequacy Standards</w:t>
                      </w:r>
                    </w:p>
                    <w:p w:rsidR="001F6C58" w:rsidRPr="00802D87" w:rsidRDefault="001F6C58" w:rsidP="001F6C58">
                      <w:pPr>
                        <w:spacing w:after="0"/>
                        <w:rPr>
                          <w:rFonts w:ascii="Gotham Light" w:hAnsi="Gotham Light"/>
                          <w:sz w:val="22"/>
                        </w:rPr>
                      </w:pPr>
                      <w:r w:rsidRPr="00802D87">
                        <w:rPr>
                          <w:rFonts w:ascii="Gotham Light" w:hAnsi="Gotham Light"/>
                          <w:b/>
                          <w:bCs/>
                          <w:sz w:val="22"/>
                        </w:rPr>
                        <w:t>State Selection of Minimum Network Adequacy Standards</w:t>
                      </w:r>
                      <w:r w:rsidRPr="00802D87">
                        <w:rPr>
                          <w:rFonts w:ascii="Gotham Light" w:hAnsi="Gotham Light"/>
                          <w:sz w:val="22"/>
                        </w:rPr>
                        <w:t> </w:t>
                      </w:r>
                    </w:p>
                    <w:p w:rsidR="001F6C58" w:rsidRDefault="001F6C58" w:rsidP="001F6C58">
                      <w:pPr>
                        <w:spacing w:after="0"/>
                        <w:rPr>
                          <w:rFonts w:ascii="Gotham Light" w:hAnsi="Gotham Light"/>
                          <w:sz w:val="22"/>
                        </w:rPr>
                      </w:pPr>
                      <w:r w:rsidRPr="00802D87">
                        <w:rPr>
                          <w:rFonts w:ascii="Gotham Light" w:hAnsi="Gotham Light"/>
                          <w:b/>
                          <w:sz w:val="22"/>
                        </w:rPr>
                        <w:t>Proposed Rule:</w:t>
                      </w:r>
                      <w:r w:rsidRPr="00802D87">
                        <w:rPr>
                          <w:rFonts w:ascii="Gotham Light" w:hAnsi="Gotham Light"/>
                          <w:sz w:val="22"/>
                        </w:rPr>
                        <w:t xml:space="preserve"> Federally Facilitated Exchange (FFE) states are required to set quantifiable network adequacy metrics for time and distance standards and prospective minimum provider-enrollee ratios for the specialties with the highest utilization rate for its state. FFE states that do not set standards will be subject to a federal default. CMS also proposed to clarify process for determining network adequacy for qualified health plans (QHP) that use a tiered network. </w:t>
                      </w:r>
                    </w:p>
                    <w:p w:rsidR="001F6C58" w:rsidRDefault="001F6C58" w:rsidP="001F6C58">
                      <w:pPr>
                        <w:spacing w:after="0"/>
                        <w:rPr>
                          <w:rFonts w:ascii="Gotham Light" w:hAnsi="Gotham Light"/>
                          <w:sz w:val="22"/>
                        </w:rPr>
                      </w:pPr>
                    </w:p>
                    <w:p w:rsidR="001F6C58" w:rsidRDefault="001F6C58" w:rsidP="001F6C58">
                      <w:pPr>
                        <w:spacing w:after="0"/>
                        <w:rPr>
                          <w:rFonts w:ascii="Gotham Light" w:hAnsi="Gotham Light"/>
                          <w:sz w:val="22"/>
                        </w:rPr>
                      </w:pPr>
                    </w:p>
                    <w:p w:rsidR="001F6C58" w:rsidRDefault="001F6C58" w:rsidP="001F6C58">
                      <w:pPr>
                        <w:spacing w:after="0"/>
                        <w:rPr>
                          <w:rFonts w:ascii="Gotham Light" w:hAnsi="Gotham Light"/>
                          <w:sz w:val="22"/>
                        </w:rPr>
                      </w:pPr>
                    </w:p>
                    <w:p w:rsidR="001F6C58" w:rsidRDefault="001F6C58" w:rsidP="001F6C58">
                      <w:pPr>
                        <w:spacing w:after="0"/>
                        <w:rPr>
                          <w:rFonts w:ascii="Gotham Light" w:hAnsi="Gotham Light"/>
                          <w:sz w:val="22"/>
                        </w:rPr>
                      </w:pPr>
                    </w:p>
                    <w:p w:rsidR="001F6C58" w:rsidRPr="00802D87" w:rsidRDefault="001F6C58" w:rsidP="001F6C58">
                      <w:pPr>
                        <w:spacing w:after="0"/>
                        <w:rPr>
                          <w:rFonts w:ascii="Gotham Light" w:hAnsi="Gotham Light"/>
                          <w:sz w:val="22"/>
                        </w:rPr>
                      </w:pPr>
                    </w:p>
                    <w:p w:rsidR="001F6C58" w:rsidRDefault="001F6C58" w:rsidP="00101101">
                      <w:pPr>
                        <w:pStyle w:val="NormalWeb"/>
                        <w:contextualSpacing/>
                        <w:rPr>
                          <w:rFonts w:ascii="Gotham Light" w:hAnsi="Gotham Light"/>
                          <w:b/>
                          <w:sz w:val="22"/>
                          <w:szCs w:val="22"/>
                        </w:rPr>
                      </w:pPr>
                    </w:p>
                    <w:p w:rsidR="001F6C58" w:rsidRDefault="001F6C58" w:rsidP="00101101">
                      <w:pPr>
                        <w:pStyle w:val="NormalWeb"/>
                        <w:contextualSpacing/>
                        <w:rPr>
                          <w:rFonts w:ascii="Gotham Light" w:hAnsi="Gotham Light"/>
                          <w:b/>
                          <w:sz w:val="22"/>
                          <w:szCs w:val="22"/>
                        </w:rPr>
                      </w:pPr>
                    </w:p>
                    <w:p w:rsidR="001F6C58" w:rsidRDefault="001F6C58" w:rsidP="00101101">
                      <w:pPr>
                        <w:pStyle w:val="NormalWeb"/>
                        <w:contextualSpacing/>
                        <w:rPr>
                          <w:rFonts w:ascii="Gotham Light" w:hAnsi="Gotham Light"/>
                          <w:b/>
                          <w:sz w:val="22"/>
                          <w:szCs w:val="22"/>
                        </w:rPr>
                      </w:pPr>
                    </w:p>
                    <w:p w:rsidR="001F6C58" w:rsidRPr="001F6C58" w:rsidRDefault="001F6C58" w:rsidP="00101101">
                      <w:pPr>
                        <w:pStyle w:val="NormalWeb"/>
                        <w:contextualSpacing/>
                        <w:rPr>
                          <w:rFonts w:ascii="Gotham Light" w:hAnsi="Gotham Light"/>
                          <w:b/>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p w:rsidR="00101101" w:rsidRPr="001F6C58" w:rsidRDefault="00101101" w:rsidP="004A2872">
                      <w:pPr>
                        <w:rPr>
                          <w:rFonts w:ascii="Gotham Light" w:hAnsi="Gotham Light"/>
                          <w:sz w:val="22"/>
                          <w:szCs w:val="22"/>
                        </w:rPr>
                      </w:pPr>
                    </w:p>
                  </w:txbxContent>
                </v:textbox>
                <w10:wrap type="tight"/>
              </v:shape>
            </w:pict>
          </mc:Fallback>
        </mc:AlternateContent>
      </w:r>
      <w:r w:rsidR="00401E59">
        <w:rPr>
          <w:noProof/>
        </w:rPr>
        <w:drawing>
          <wp:anchor distT="0" distB="0" distL="114300" distR="114300" simplePos="0" relativeHeight="251658240" behindDoc="1" locked="1" layoutInCell="1" allowOverlap="1" wp14:anchorId="25CD1B88" wp14:editId="48A5FEA2">
            <wp:simplePos x="0" y="0"/>
            <wp:positionH relativeFrom="column">
              <wp:posOffset>0</wp:posOffset>
            </wp:positionH>
            <wp:positionV relativeFrom="page">
              <wp:posOffset>0</wp:posOffset>
            </wp:positionV>
            <wp:extent cx="7767320" cy="10058400"/>
            <wp:effectExtent l="25400" t="0" r="5080" b="0"/>
            <wp:wrapNone/>
            <wp:docPr id="1" name="Picture 1" descr="ghf_letterhead_ƒ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letterhead_ƒ_4c.png"/>
                    <pic:cNvPicPr/>
                  </pic:nvPicPr>
                  <pic:blipFill>
                    <a:blip r:embed="rId13"/>
                    <a:stretch>
                      <a:fillRect/>
                    </a:stretch>
                  </pic:blipFill>
                  <pic:spPr>
                    <a:xfrm>
                      <a:off x="0" y="0"/>
                      <a:ext cx="7767320" cy="10058400"/>
                    </a:xfrm>
                    <a:prstGeom prst="rect">
                      <a:avLst/>
                    </a:prstGeom>
                  </pic:spPr>
                </pic:pic>
              </a:graphicData>
            </a:graphic>
          </wp:anchor>
        </w:drawing>
      </w:r>
    </w:p>
    <w:p w:rsidR="001F6C58" w:rsidRDefault="001F6C58">
      <w:r>
        <w:br w:type="page"/>
      </w:r>
    </w:p>
    <w:p w:rsidR="001F6C58" w:rsidRDefault="001F6C58" w:rsidP="00401E59">
      <w:pPr>
        <w:ind w:left="900"/>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1600200</wp:posOffset>
                </wp:positionV>
                <wp:extent cx="6515100" cy="75438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C58" w:rsidRPr="001F6C58" w:rsidRDefault="001F6C58" w:rsidP="00802D87">
                            <w:pPr>
                              <w:spacing w:after="0"/>
                              <w:rPr>
                                <w:rFonts w:ascii="Gotham Light" w:hAnsi="Gotham Light"/>
                                <w:sz w:val="22"/>
                              </w:rPr>
                            </w:pPr>
                            <w:r w:rsidRPr="001F6C58">
                              <w:rPr>
                                <w:rFonts w:ascii="Gotham Light" w:hAnsi="Gotham Light"/>
                                <w:b/>
                                <w:sz w:val="22"/>
                              </w:rPr>
                              <w:t xml:space="preserve">Final Rule: </w:t>
                            </w:r>
                            <w:r w:rsidRPr="001F6C58">
                              <w:rPr>
                                <w:rFonts w:ascii="Gotham Light" w:hAnsi="Gotham Light"/>
                                <w:sz w:val="22"/>
                              </w:rPr>
                              <w:t xml:space="preserve">HHS decided to give states time to act on NAIC recommendations before requiring minimum network adequacy standards. HHS will monitor the practice of </w:t>
                            </w:r>
                            <w:proofErr w:type="spellStart"/>
                            <w:r w:rsidRPr="001F6C58">
                              <w:rPr>
                                <w:rFonts w:ascii="Gotham Light" w:hAnsi="Gotham Light"/>
                                <w:sz w:val="22"/>
                              </w:rPr>
                              <w:t>tiering</w:t>
                            </w:r>
                            <w:proofErr w:type="spellEnd"/>
                            <w:r w:rsidRPr="001F6C58">
                              <w:rPr>
                                <w:rFonts w:ascii="Gotham Light" w:hAnsi="Gotham Light"/>
                                <w:sz w:val="22"/>
                              </w:rPr>
                              <w:t xml:space="preserve">, but will not necessarily focus only on access to providers included in the lowest tier of coverage. Starting in 2017, HealthCare.gov will include a rating of each QHP’s relative network size. The measure will compare the QHP network size at the plan level to the network size of plans available in the same geographic area. </w:t>
                            </w:r>
                          </w:p>
                          <w:p w:rsidR="001F6C58" w:rsidRPr="001F6C58" w:rsidRDefault="001F6C58" w:rsidP="00802D87">
                            <w:pPr>
                              <w:pBdr>
                                <w:bottom w:val="single" w:sz="12" w:space="1" w:color="auto"/>
                              </w:pBdr>
                              <w:spacing w:after="0"/>
                              <w:rPr>
                                <w:rFonts w:ascii="Gotham Light" w:hAnsi="Gotham Light"/>
                                <w:sz w:val="22"/>
                              </w:rPr>
                            </w:pPr>
                            <w:r w:rsidRPr="001F6C58">
                              <w:rPr>
                                <w:rFonts w:ascii="Gotham Light" w:hAnsi="Gotham Light"/>
                                <w:b/>
                                <w:sz w:val="22"/>
                              </w:rPr>
                              <w:t>GHF Position:</w:t>
                            </w:r>
                            <w:r w:rsidRPr="001F6C58">
                              <w:rPr>
                                <w:rFonts w:ascii="Gotham Light" w:hAnsi="Gotham Light"/>
                                <w:sz w:val="22"/>
                              </w:rPr>
                              <w:t xml:space="preserve"> While we are encouraged by some of the network adequacy provisions in the final rule, we are not in agreement with the pull-back on setting minimum network adequacy standards and clarifying the process for determining network adequacy for QHPs that use a tiered network.</w:t>
                            </w:r>
                          </w:p>
                          <w:p w:rsidR="001F6C58" w:rsidRPr="001F6C58" w:rsidRDefault="001F6C58" w:rsidP="00802D87">
                            <w:pPr>
                              <w:pBdr>
                                <w:bottom w:val="single" w:sz="12" w:space="1" w:color="auto"/>
                              </w:pBdr>
                              <w:spacing w:after="0"/>
                              <w:rPr>
                                <w:rFonts w:ascii="Gotham Light" w:hAnsi="Gotham Light"/>
                                <w:sz w:val="22"/>
                              </w:rPr>
                            </w:pPr>
                          </w:p>
                          <w:p w:rsidR="001F6C58" w:rsidRPr="001F6C58" w:rsidRDefault="001F6C58" w:rsidP="00802D87">
                            <w:pPr>
                              <w:spacing w:after="0"/>
                              <w:rPr>
                                <w:rFonts w:ascii="Gotham Light" w:hAnsi="Gotham Light"/>
                                <w:sz w:val="22"/>
                              </w:rPr>
                            </w:pPr>
                          </w:p>
                          <w:p w:rsidR="001F6C58" w:rsidRPr="001F6C58" w:rsidRDefault="001F6C58" w:rsidP="00802D87">
                            <w:pPr>
                              <w:rPr>
                                <w:rFonts w:ascii="Gotham Light" w:hAnsi="Gotham Light"/>
                                <w:b/>
                                <w:sz w:val="22"/>
                              </w:rPr>
                            </w:pPr>
                            <w:r w:rsidRPr="001F6C58">
                              <w:rPr>
                                <w:rFonts w:ascii="Gotham Light" w:hAnsi="Gotham Light"/>
                                <w:b/>
                                <w:sz w:val="22"/>
                              </w:rPr>
                              <w:t>Additional Network Adequacy Requirements</w:t>
                            </w:r>
                          </w:p>
                          <w:p w:rsidR="001F6C58" w:rsidRPr="001F6C58" w:rsidRDefault="001F6C58" w:rsidP="00802D87">
                            <w:pPr>
                              <w:spacing w:after="0"/>
                              <w:rPr>
                                <w:rFonts w:ascii="Gotham Light" w:hAnsi="Gotham Light"/>
                                <w:b/>
                                <w:i/>
                                <w:sz w:val="22"/>
                              </w:rPr>
                            </w:pPr>
                            <w:r w:rsidRPr="001F6C58">
                              <w:rPr>
                                <w:rFonts w:ascii="Gotham Light" w:hAnsi="Gotham Light"/>
                                <w:b/>
                                <w:i/>
                                <w:sz w:val="22"/>
                              </w:rPr>
                              <w:t>Continuity of Care</w:t>
                            </w:r>
                          </w:p>
                          <w:p w:rsidR="001F6C58" w:rsidRPr="001F6C58" w:rsidRDefault="001F6C58" w:rsidP="00802D87">
                            <w:pPr>
                              <w:spacing w:after="0"/>
                              <w:rPr>
                                <w:rFonts w:ascii="Gotham Light" w:hAnsi="Gotham Light"/>
                                <w:b/>
                                <w:i/>
                                <w:sz w:val="22"/>
                              </w:rPr>
                            </w:pPr>
                          </w:p>
                          <w:p w:rsidR="001F6C58" w:rsidRPr="001F6C58" w:rsidRDefault="001F6C58" w:rsidP="00802D87">
                            <w:pPr>
                              <w:spacing w:after="0"/>
                              <w:rPr>
                                <w:rFonts w:ascii="Gotham Light" w:eastAsia="Arial Unicode MS" w:hAnsi="Gotham Light"/>
                                <w:color w:val="000000"/>
                                <w:sz w:val="22"/>
                                <w:bdr w:val="none" w:sz="0" w:space="0" w:color="auto" w:frame="1"/>
                              </w:rPr>
                            </w:pPr>
                            <w:r w:rsidRPr="001F6C58">
                              <w:rPr>
                                <w:rFonts w:ascii="Gotham Light" w:hAnsi="Gotham Light"/>
                                <w:b/>
                                <w:sz w:val="22"/>
                              </w:rPr>
                              <w:t>Proposed Rule:</w:t>
                            </w:r>
                            <w:r w:rsidRPr="001F6C58">
                              <w:rPr>
                                <w:rFonts w:ascii="Gotham Light" w:hAnsi="Gotham Light"/>
                                <w:sz w:val="22"/>
                              </w:rPr>
                              <w:t xml:space="preserve"> </w:t>
                            </w:r>
                            <w:r w:rsidRPr="001F6C58">
                              <w:rPr>
                                <w:rFonts w:ascii="Gotham Light" w:eastAsia="Arial Unicode MS" w:hAnsi="Gotham Light"/>
                                <w:color w:val="000000"/>
                                <w:sz w:val="22"/>
                                <w:bdr w:val="none" w:sz="0" w:space="0" w:color="auto" w:frame="1"/>
                              </w:rPr>
                              <w:t>Require QHP issuers in all FFEs to notify enrollees about a discontinuation of an in-network provider as well as ensuring that enrollees have continuity of care protections when a provider is terminated without cause. Also, allow enrollees in active treatment to continue treatment until the treatment is complete or for 90 days, whichever is shorter, at in-network cost-sharing rates in cases where their provider is terminated.</w:t>
                            </w:r>
                          </w:p>
                          <w:p w:rsidR="001F6C58" w:rsidRPr="001F6C58" w:rsidRDefault="001F6C58" w:rsidP="00802D87">
                            <w:pPr>
                              <w:spacing w:after="0"/>
                              <w:rPr>
                                <w:rFonts w:ascii="Gotham Light" w:eastAsia="Arial Unicode MS" w:hAnsi="Gotham Light"/>
                                <w:color w:val="000000"/>
                                <w:sz w:val="22"/>
                                <w:bdr w:val="none" w:sz="0" w:space="0" w:color="auto" w:frame="1"/>
                              </w:rPr>
                            </w:pPr>
                            <w:r w:rsidRPr="001F6C58">
                              <w:rPr>
                                <w:rFonts w:ascii="Gotham Light" w:eastAsia="Arial Unicode MS" w:hAnsi="Gotham Light"/>
                                <w:b/>
                                <w:color w:val="000000"/>
                                <w:sz w:val="22"/>
                                <w:bdr w:val="none" w:sz="0" w:space="0" w:color="auto" w:frame="1"/>
                              </w:rPr>
                              <w:t xml:space="preserve">Final Rule: </w:t>
                            </w:r>
                            <w:r w:rsidRPr="001F6C58">
                              <w:rPr>
                                <w:rFonts w:ascii="Gotham Light" w:eastAsia="Arial Unicode MS" w:hAnsi="Gotham Light"/>
                                <w:color w:val="000000"/>
                                <w:sz w:val="22"/>
                                <w:bdr w:val="none" w:sz="0" w:space="0" w:color="auto" w:frame="1"/>
                              </w:rPr>
                              <w:t xml:space="preserve">CMS will require insurers to notify enrollees 30 days when terminating a provider and continue to offer coverage for up to 90 days for a patient in active treatment by that provider. The insurer would only have to pay network rates for the services of that provider and the provider could balance bill. </w:t>
                            </w:r>
                          </w:p>
                          <w:p w:rsidR="001F6C58" w:rsidRPr="001F6C58" w:rsidRDefault="001F6C58" w:rsidP="00802D87">
                            <w:pPr>
                              <w:spacing w:after="0"/>
                              <w:rPr>
                                <w:rFonts w:ascii="Gotham Light" w:eastAsia="Arial Unicode MS" w:hAnsi="Gotham Light"/>
                                <w:color w:val="000000"/>
                                <w:sz w:val="22"/>
                                <w:bdr w:val="none" w:sz="0" w:space="0" w:color="auto" w:frame="1"/>
                              </w:rPr>
                            </w:pPr>
                            <w:r w:rsidRPr="001F6C58">
                              <w:rPr>
                                <w:rFonts w:ascii="Gotham Light" w:eastAsia="Arial Unicode MS" w:hAnsi="Gotham Light"/>
                                <w:b/>
                                <w:color w:val="000000"/>
                                <w:sz w:val="22"/>
                                <w:bdr w:val="none" w:sz="0" w:space="0" w:color="auto" w:frame="1"/>
                              </w:rPr>
                              <w:t>GHF Position:</w:t>
                            </w:r>
                            <w:r w:rsidRPr="001F6C58">
                              <w:rPr>
                                <w:rFonts w:ascii="Gotham Light" w:eastAsia="Arial Unicode MS" w:hAnsi="Gotham Light"/>
                                <w:color w:val="000000"/>
                                <w:sz w:val="22"/>
                                <w:bdr w:val="none" w:sz="0" w:space="0" w:color="auto" w:frame="1"/>
                              </w:rPr>
                              <w:t xml:space="preserve"> In general, we support these important consumer protections, but believe they are important enough to warrant applying them to all QHPs, not just those in FFE states. Further, we believe that the 90-day transition period should be the minimum, rather than the maximum, length of time for patients being treated for a life-threatening condition, a serious acute condition, in the second or third trimester, through the postpartum period, or in a course of treatment where discontinuing treatment would worsen the condition. Lastly, continuity of care should not be subject to balance billing. </w:t>
                            </w:r>
                          </w:p>
                          <w:p w:rsidR="001F6C58" w:rsidRPr="001F6C58" w:rsidRDefault="001F6C58" w:rsidP="00802D87">
                            <w:pPr>
                              <w:spacing w:after="0"/>
                              <w:rPr>
                                <w:rFonts w:ascii="Gotham Light" w:eastAsia="Arial Unicode MS" w:hAnsi="Gotham Light"/>
                                <w:color w:val="000000"/>
                                <w:sz w:val="18"/>
                                <w:bdr w:val="none" w:sz="0" w:space="0" w:color="auto" w:frame="1"/>
                              </w:rPr>
                            </w:pPr>
                          </w:p>
                          <w:p w:rsidR="001F6C58" w:rsidRPr="001F6C58" w:rsidRDefault="001F6C58" w:rsidP="00802D87">
                            <w:pPr>
                              <w:spacing w:after="0"/>
                              <w:rPr>
                                <w:rFonts w:ascii="Gotham Light" w:eastAsia="Arial Unicode MS" w:hAnsi="Gotham Light"/>
                                <w:b/>
                                <w:i/>
                                <w:color w:val="000000"/>
                                <w:sz w:val="22"/>
                                <w:bdr w:val="none" w:sz="0" w:space="0" w:color="auto" w:frame="1"/>
                              </w:rPr>
                            </w:pPr>
                            <w:r w:rsidRPr="001F6C58">
                              <w:rPr>
                                <w:rFonts w:ascii="Gotham Light" w:eastAsia="Arial Unicode MS" w:hAnsi="Gotham Light"/>
                                <w:b/>
                                <w:i/>
                                <w:color w:val="000000"/>
                                <w:sz w:val="22"/>
                                <w:bdr w:val="none" w:sz="0" w:space="0" w:color="auto" w:frame="1"/>
                              </w:rPr>
                              <w:t xml:space="preserve">Cost Sharing Protections </w:t>
                            </w:r>
                          </w:p>
                          <w:p w:rsidR="001F6C58" w:rsidRPr="001F6C58" w:rsidRDefault="001F6C58" w:rsidP="00802D87">
                            <w:pPr>
                              <w:spacing w:after="0"/>
                              <w:rPr>
                                <w:rFonts w:ascii="Gotham Light" w:eastAsia="Arial Unicode MS" w:hAnsi="Gotham Light"/>
                                <w:b/>
                                <w:i/>
                                <w:color w:val="000000"/>
                                <w:sz w:val="22"/>
                                <w:bdr w:val="none" w:sz="0" w:space="0" w:color="auto" w:frame="1"/>
                              </w:rPr>
                            </w:pPr>
                          </w:p>
                          <w:p w:rsidR="001F6C58" w:rsidRPr="001F6C58" w:rsidRDefault="001F6C58" w:rsidP="00802D87">
                            <w:pPr>
                              <w:spacing w:after="0"/>
                              <w:rPr>
                                <w:rFonts w:ascii="Gotham Light" w:hAnsi="Gotham Light"/>
                                <w:sz w:val="22"/>
                              </w:rPr>
                            </w:pPr>
                            <w:r w:rsidRPr="001F6C58">
                              <w:rPr>
                                <w:rFonts w:ascii="Gotham Light" w:hAnsi="Gotham Light"/>
                                <w:b/>
                                <w:sz w:val="22"/>
                              </w:rPr>
                              <w:t>Proposed Rule:</w:t>
                            </w:r>
                            <w:r w:rsidRPr="001F6C58">
                              <w:rPr>
                                <w:rFonts w:ascii="Gotham Light" w:hAnsi="Gotham Light"/>
                                <w:sz w:val="22"/>
                              </w:rPr>
                              <w:t xml:space="preserve"> A plan may provide notice to an enrollee at least 10 days in advance that enrollees may receive care from out-of-network provider services at in-network facilities. If a plan fails to provide this notice, any cost-sharing imposed by out-of-network providers at an in-network facility must be charged against the plan’s OOP limit so that the insurer absorbs costs above that limit. The provision would apply to all QHP plans, not just FEE. </w:t>
                            </w:r>
                          </w:p>
                          <w:p w:rsidR="001F6C58" w:rsidRPr="001F6C58" w:rsidRDefault="001F6C58" w:rsidP="00802D87">
                            <w:pPr>
                              <w:spacing w:after="0"/>
                              <w:rPr>
                                <w:rFonts w:ascii="Gotham Light" w:eastAsia="Arial Unicode MS" w:hAnsi="Gotham Light"/>
                                <w:color w:val="000000"/>
                                <w:sz w:val="22"/>
                                <w:bdr w:val="none" w:sz="0" w:space="0" w:color="auto" w:frame="1"/>
                              </w:rPr>
                            </w:pPr>
                          </w:p>
                          <w:p w:rsidR="001F6C58" w:rsidRPr="001F6C58" w:rsidRDefault="001F6C58" w:rsidP="004A2872">
                            <w:pPr>
                              <w:rPr>
                                <w:rFonts w:ascii="Gotham Light" w:hAnsi="Gotham Ligh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5pt;margin-top:126pt;width:513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" filled="f" stroked="f">
                <v:textbox inset="0,0,0,0">
                  <w:txbxContent>
                    <w:p w:rsidR="001F6C58" w:rsidRPr="001F6C58" w:rsidRDefault="001F6C58" w:rsidP="00802D87">
                      <w:pPr>
                        <w:spacing w:after="0"/>
                        <w:rPr>
                          <w:rFonts w:ascii="Gotham Light" w:hAnsi="Gotham Light"/>
                          <w:sz w:val="22"/>
                        </w:rPr>
                      </w:pPr>
                      <w:r w:rsidRPr="001F6C58">
                        <w:rPr>
                          <w:rFonts w:ascii="Gotham Light" w:hAnsi="Gotham Light"/>
                          <w:b/>
                          <w:sz w:val="22"/>
                        </w:rPr>
                        <w:t xml:space="preserve">Final Rule: </w:t>
                      </w:r>
                      <w:r w:rsidRPr="001F6C58">
                        <w:rPr>
                          <w:rFonts w:ascii="Gotham Light" w:hAnsi="Gotham Light"/>
                          <w:sz w:val="22"/>
                        </w:rPr>
                        <w:t xml:space="preserve">HHS decided to give states time to act on NAIC recommendations before requiring minimum network adequacy standards. HHS will monitor the practice of </w:t>
                      </w:r>
                      <w:proofErr w:type="spellStart"/>
                      <w:r w:rsidRPr="001F6C58">
                        <w:rPr>
                          <w:rFonts w:ascii="Gotham Light" w:hAnsi="Gotham Light"/>
                          <w:sz w:val="22"/>
                        </w:rPr>
                        <w:t>tiering</w:t>
                      </w:r>
                      <w:proofErr w:type="spellEnd"/>
                      <w:r w:rsidRPr="001F6C58">
                        <w:rPr>
                          <w:rFonts w:ascii="Gotham Light" w:hAnsi="Gotham Light"/>
                          <w:sz w:val="22"/>
                        </w:rPr>
                        <w:t xml:space="preserve">, but will not necessarily focus only on access to providers included in the lowest tier of coverage. Starting in 2017, HealthCare.gov will include a rating of each QHP’s relative network size. The measure will compare the QHP network size at the plan level to the network size of plans available in the same geographic area. </w:t>
                      </w:r>
                    </w:p>
                    <w:p w:rsidR="001F6C58" w:rsidRPr="001F6C58" w:rsidRDefault="001F6C58" w:rsidP="00802D87">
                      <w:pPr>
                        <w:pBdr>
                          <w:bottom w:val="single" w:sz="12" w:space="1" w:color="auto"/>
                        </w:pBdr>
                        <w:spacing w:after="0"/>
                        <w:rPr>
                          <w:rFonts w:ascii="Gotham Light" w:hAnsi="Gotham Light"/>
                          <w:sz w:val="22"/>
                        </w:rPr>
                      </w:pPr>
                      <w:r w:rsidRPr="001F6C58">
                        <w:rPr>
                          <w:rFonts w:ascii="Gotham Light" w:hAnsi="Gotham Light"/>
                          <w:b/>
                          <w:sz w:val="22"/>
                        </w:rPr>
                        <w:t>GHF Position:</w:t>
                      </w:r>
                      <w:r w:rsidRPr="001F6C58">
                        <w:rPr>
                          <w:rFonts w:ascii="Gotham Light" w:hAnsi="Gotham Light"/>
                          <w:sz w:val="22"/>
                        </w:rPr>
                        <w:t xml:space="preserve"> While we are encouraged by some of the network adequacy provisions in the final rule, we are not in agreement with the pull-back on setting minimum network adequacy standards and clarifying the process for determining network adequacy for QHPs that use a tiered network.</w:t>
                      </w:r>
                    </w:p>
                    <w:p w:rsidR="001F6C58" w:rsidRPr="001F6C58" w:rsidRDefault="001F6C58" w:rsidP="00802D87">
                      <w:pPr>
                        <w:pBdr>
                          <w:bottom w:val="single" w:sz="12" w:space="1" w:color="auto"/>
                        </w:pBdr>
                        <w:spacing w:after="0"/>
                        <w:rPr>
                          <w:rFonts w:ascii="Gotham Light" w:hAnsi="Gotham Light"/>
                          <w:sz w:val="22"/>
                        </w:rPr>
                      </w:pPr>
                    </w:p>
                    <w:p w:rsidR="001F6C58" w:rsidRPr="001F6C58" w:rsidRDefault="001F6C58" w:rsidP="00802D87">
                      <w:pPr>
                        <w:spacing w:after="0"/>
                        <w:rPr>
                          <w:rFonts w:ascii="Gotham Light" w:hAnsi="Gotham Light"/>
                          <w:sz w:val="22"/>
                        </w:rPr>
                      </w:pPr>
                    </w:p>
                    <w:p w:rsidR="001F6C58" w:rsidRPr="001F6C58" w:rsidRDefault="001F6C58" w:rsidP="00802D87">
                      <w:pPr>
                        <w:rPr>
                          <w:rFonts w:ascii="Gotham Light" w:hAnsi="Gotham Light"/>
                          <w:b/>
                          <w:sz w:val="22"/>
                        </w:rPr>
                      </w:pPr>
                      <w:r w:rsidRPr="001F6C58">
                        <w:rPr>
                          <w:rFonts w:ascii="Gotham Light" w:hAnsi="Gotham Light"/>
                          <w:b/>
                          <w:sz w:val="22"/>
                        </w:rPr>
                        <w:t>Additional Network Adequacy Requirements</w:t>
                      </w:r>
                    </w:p>
                    <w:p w:rsidR="001F6C58" w:rsidRPr="001F6C58" w:rsidRDefault="001F6C58" w:rsidP="00802D87">
                      <w:pPr>
                        <w:spacing w:after="0"/>
                        <w:rPr>
                          <w:rFonts w:ascii="Gotham Light" w:hAnsi="Gotham Light"/>
                          <w:b/>
                          <w:i/>
                          <w:sz w:val="22"/>
                        </w:rPr>
                      </w:pPr>
                      <w:r w:rsidRPr="001F6C58">
                        <w:rPr>
                          <w:rFonts w:ascii="Gotham Light" w:hAnsi="Gotham Light"/>
                          <w:b/>
                          <w:i/>
                          <w:sz w:val="22"/>
                        </w:rPr>
                        <w:t>Continuity of Care</w:t>
                      </w:r>
                    </w:p>
                    <w:p w:rsidR="001F6C58" w:rsidRPr="001F6C58" w:rsidRDefault="001F6C58" w:rsidP="00802D87">
                      <w:pPr>
                        <w:spacing w:after="0"/>
                        <w:rPr>
                          <w:rFonts w:ascii="Gotham Light" w:hAnsi="Gotham Light"/>
                          <w:b/>
                          <w:i/>
                          <w:sz w:val="22"/>
                        </w:rPr>
                      </w:pPr>
                    </w:p>
                    <w:p w:rsidR="001F6C58" w:rsidRPr="001F6C58" w:rsidRDefault="001F6C58" w:rsidP="00802D87">
                      <w:pPr>
                        <w:spacing w:after="0"/>
                        <w:rPr>
                          <w:rFonts w:ascii="Gotham Light" w:eastAsia="Arial Unicode MS" w:hAnsi="Gotham Light"/>
                          <w:color w:val="000000"/>
                          <w:sz w:val="22"/>
                          <w:bdr w:val="none" w:sz="0" w:space="0" w:color="auto" w:frame="1"/>
                        </w:rPr>
                      </w:pPr>
                      <w:r w:rsidRPr="001F6C58">
                        <w:rPr>
                          <w:rFonts w:ascii="Gotham Light" w:hAnsi="Gotham Light"/>
                          <w:b/>
                          <w:sz w:val="22"/>
                        </w:rPr>
                        <w:t>Proposed Rule:</w:t>
                      </w:r>
                      <w:r w:rsidRPr="001F6C58">
                        <w:rPr>
                          <w:rFonts w:ascii="Gotham Light" w:hAnsi="Gotham Light"/>
                          <w:sz w:val="22"/>
                        </w:rPr>
                        <w:t xml:space="preserve"> </w:t>
                      </w:r>
                      <w:r w:rsidRPr="001F6C58">
                        <w:rPr>
                          <w:rFonts w:ascii="Gotham Light" w:eastAsia="Arial Unicode MS" w:hAnsi="Gotham Light"/>
                          <w:color w:val="000000"/>
                          <w:sz w:val="22"/>
                          <w:bdr w:val="none" w:sz="0" w:space="0" w:color="auto" w:frame="1"/>
                        </w:rPr>
                        <w:t>Require QHP issuers in all FFEs to notify enrollees about a discontinuation of an in-network provider as well as ensuring that enrollees have continuity of care protections when a provider is terminated without cause. Also, allow enrollees in active treatment to continue treatment until the treatment is complete or for 90 days, whichever is shorter, at in-network cost-sharing rates in cases where their provider is terminated.</w:t>
                      </w:r>
                    </w:p>
                    <w:p w:rsidR="001F6C58" w:rsidRPr="001F6C58" w:rsidRDefault="001F6C58" w:rsidP="00802D87">
                      <w:pPr>
                        <w:spacing w:after="0"/>
                        <w:rPr>
                          <w:rFonts w:ascii="Gotham Light" w:eastAsia="Arial Unicode MS" w:hAnsi="Gotham Light"/>
                          <w:color w:val="000000"/>
                          <w:sz w:val="22"/>
                          <w:bdr w:val="none" w:sz="0" w:space="0" w:color="auto" w:frame="1"/>
                        </w:rPr>
                      </w:pPr>
                      <w:r w:rsidRPr="001F6C58">
                        <w:rPr>
                          <w:rFonts w:ascii="Gotham Light" w:eastAsia="Arial Unicode MS" w:hAnsi="Gotham Light"/>
                          <w:b/>
                          <w:color w:val="000000"/>
                          <w:sz w:val="22"/>
                          <w:bdr w:val="none" w:sz="0" w:space="0" w:color="auto" w:frame="1"/>
                        </w:rPr>
                        <w:t xml:space="preserve">Final Rule: </w:t>
                      </w:r>
                      <w:r w:rsidRPr="001F6C58">
                        <w:rPr>
                          <w:rFonts w:ascii="Gotham Light" w:eastAsia="Arial Unicode MS" w:hAnsi="Gotham Light"/>
                          <w:color w:val="000000"/>
                          <w:sz w:val="22"/>
                          <w:bdr w:val="none" w:sz="0" w:space="0" w:color="auto" w:frame="1"/>
                        </w:rPr>
                        <w:t xml:space="preserve">CMS will require insurers to notify enrollees 30 days when terminating a provider and continue to offer coverage for up to 90 days for a patient in active treatment by that provider. The insurer would only have to pay network rates for the services of that provider and the provider could balance bill. </w:t>
                      </w:r>
                    </w:p>
                    <w:p w:rsidR="001F6C58" w:rsidRPr="001F6C58" w:rsidRDefault="001F6C58" w:rsidP="00802D87">
                      <w:pPr>
                        <w:spacing w:after="0"/>
                        <w:rPr>
                          <w:rFonts w:ascii="Gotham Light" w:eastAsia="Arial Unicode MS" w:hAnsi="Gotham Light"/>
                          <w:color w:val="000000"/>
                          <w:sz w:val="22"/>
                          <w:bdr w:val="none" w:sz="0" w:space="0" w:color="auto" w:frame="1"/>
                        </w:rPr>
                      </w:pPr>
                      <w:r w:rsidRPr="001F6C58">
                        <w:rPr>
                          <w:rFonts w:ascii="Gotham Light" w:eastAsia="Arial Unicode MS" w:hAnsi="Gotham Light"/>
                          <w:b/>
                          <w:color w:val="000000"/>
                          <w:sz w:val="22"/>
                          <w:bdr w:val="none" w:sz="0" w:space="0" w:color="auto" w:frame="1"/>
                        </w:rPr>
                        <w:t>GHF Position:</w:t>
                      </w:r>
                      <w:r w:rsidRPr="001F6C58">
                        <w:rPr>
                          <w:rFonts w:ascii="Gotham Light" w:eastAsia="Arial Unicode MS" w:hAnsi="Gotham Light"/>
                          <w:color w:val="000000"/>
                          <w:sz w:val="22"/>
                          <w:bdr w:val="none" w:sz="0" w:space="0" w:color="auto" w:frame="1"/>
                        </w:rPr>
                        <w:t xml:space="preserve"> In general, we support these important consumer protections, but believe they are important enough to warrant applying them to all QHPs, not just those in FFE states. Further, we believe that the 90-day transition period should be the minimum, rather than the maximum, length of time for patients being treated for a life-threatening condition, a serious acute condition, in the second or third trimester, through the postpartum period, or in a course of treatment where discontinuing treatment would worsen the condition. Lastly, continuity of care should not be subject to balance billing. </w:t>
                      </w:r>
                    </w:p>
                    <w:p w:rsidR="001F6C58" w:rsidRPr="001F6C58" w:rsidRDefault="001F6C58" w:rsidP="00802D87">
                      <w:pPr>
                        <w:spacing w:after="0"/>
                        <w:rPr>
                          <w:rFonts w:ascii="Gotham Light" w:eastAsia="Arial Unicode MS" w:hAnsi="Gotham Light"/>
                          <w:color w:val="000000"/>
                          <w:sz w:val="18"/>
                          <w:bdr w:val="none" w:sz="0" w:space="0" w:color="auto" w:frame="1"/>
                        </w:rPr>
                      </w:pPr>
                    </w:p>
                    <w:p w:rsidR="001F6C58" w:rsidRPr="001F6C58" w:rsidRDefault="001F6C58" w:rsidP="00802D87">
                      <w:pPr>
                        <w:spacing w:after="0"/>
                        <w:rPr>
                          <w:rFonts w:ascii="Gotham Light" w:eastAsia="Arial Unicode MS" w:hAnsi="Gotham Light"/>
                          <w:b/>
                          <w:i/>
                          <w:color w:val="000000"/>
                          <w:sz w:val="22"/>
                          <w:bdr w:val="none" w:sz="0" w:space="0" w:color="auto" w:frame="1"/>
                        </w:rPr>
                      </w:pPr>
                      <w:r w:rsidRPr="001F6C58">
                        <w:rPr>
                          <w:rFonts w:ascii="Gotham Light" w:eastAsia="Arial Unicode MS" w:hAnsi="Gotham Light"/>
                          <w:b/>
                          <w:i/>
                          <w:color w:val="000000"/>
                          <w:sz w:val="22"/>
                          <w:bdr w:val="none" w:sz="0" w:space="0" w:color="auto" w:frame="1"/>
                        </w:rPr>
                        <w:t xml:space="preserve">Cost Sharing Protections </w:t>
                      </w:r>
                    </w:p>
                    <w:p w:rsidR="001F6C58" w:rsidRPr="001F6C58" w:rsidRDefault="001F6C58" w:rsidP="00802D87">
                      <w:pPr>
                        <w:spacing w:after="0"/>
                        <w:rPr>
                          <w:rFonts w:ascii="Gotham Light" w:eastAsia="Arial Unicode MS" w:hAnsi="Gotham Light"/>
                          <w:b/>
                          <w:i/>
                          <w:color w:val="000000"/>
                          <w:sz w:val="22"/>
                          <w:bdr w:val="none" w:sz="0" w:space="0" w:color="auto" w:frame="1"/>
                        </w:rPr>
                      </w:pPr>
                    </w:p>
                    <w:p w:rsidR="001F6C58" w:rsidRPr="001F6C58" w:rsidRDefault="001F6C58" w:rsidP="00802D87">
                      <w:pPr>
                        <w:spacing w:after="0"/>
                        <w:rPr>
                          <w:rFonts w:ascii="Gotham Light" w:hAnsi="Gotham Light"/>
                          <w:sz w:val="22"/>
                        </w:rPr>
                      </w:pPr>
                      <w:r w:rsidRPr="001F6C58">
                        <w:rPr>
                          <w:rFonts w:ascii="Gotham Light" w:hAnsi="Gotham Light"/>
                          <w:b/>
                          <w:sz w:val="22"/>
                        </w:rPr>
                        <w:t>Proposed Rule:</w:t>
                      </w:r>
                      <w:r w:rsidRPr="001F6C58">
                        <w:rPr>
                          <w:rFonts w:ascii="Gotham Light" w:hAnsi="Gotham Light"/>
                          <w:sz w:val="22"/>
                        </w:rPr>
                        <w:t xml:space="preserve"> A plan may provide notice to an enrollee at least 10 days in advance that enrollees may receive care from out-of-network provider services at in-network facilities. If a plan fails to provide this notice, any cost-sharing imposed by out-of-network providers at an in-network facility must be charged against the plan’s OOP limit so that the insurer absorbs costs above that limit. The provision would apply to all QHP plans, not just FEE. </w:t>
                      </w:r>
                    </w:p>
                    <w:p w:rsidR="001F6C58" w:rsidRPr="001F6C58" w:rsidRDefault="001F6C58" w:rsidP="00802D87">
                      <w:pPr>
                        <w:spacing w:after="0"/>
                        <w:rPr>
                          <w:rFonts w:ascii="Gotham Light" w:eastAsia="Arial Unicode MS" w:hAnsi="Gotham Light"/>
                          <w:color w:val="000000"/>
                          <w:sz w:val="22"/>
                          <w:bdr w:val="none" w:sz="0" w:space="0" w:color="auto" w:frame="1"/>
                        </w:rPr>
                      </w:pPr>
                    </w:p>
                    <w:p w:rsidR="001F6C58" w:rsidRPr="001F6C58" w:rsidRDefault="001F6C58" w:rsidP="004A2872">
                      <w:pPr>
                        <w:rPr>
                          <w:rFonts w:ascii="Gotham Light" w:hAnsi="Gotham Light"/>
                          <w:sz w:val="18"/>
                        </w:rPr>
                      </w:pPr>
                    </w:p>
                  </w:txbxContent>
                </v:textbox>
                <w10:wrap type="tight"/>
              </v:shape>
            </w:pict>
          </mc:Fallback>
        </mc:AlternateContent>
      </w:r>
      <w:r>
        <w:rPr>
          <w:noProof/>
        </w:rPr>
        <w:drawing>
          <wp:anchor distT="0" distB="0" distL="114300" distR="114300" simplePos="0" relativeHeight="251661312" behindDoc="1" locked="1" layoutInCell="1" allowOverlap="1">
            <wp:simplePos x="0" y="0"/>
            <wp:positionH relativeFrom="column">
              <wp:posOffset>0</wp:posOffset>
            </wp:positionH>
            <wp:positionV relativeFrom="page">
              <wp:posOffset>0</wp:posOffset>
            </wp:positionV>
            <wp:extent cx="7767320" cy="10058400"/>
            <wp:effectExtent l="25400" t="0" r="5080" b="0"/>
            <wp:wrapNone/>
            <wp:docPr id="8" name="Picture 8" descr="ghf_letterhead_ƒ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letterhead_ƒ_4c.png"/>
                    <pic:cNvPicPr/>
                  </pic:nvPicPr>
                  <pic:blipFill>
                    <a:blip r:embed="rId13"/>
                    <a:stretch>
                      <a:fillRect/>
                    </a:stretch>
                  </pic:blipFill>
                  <pic:spPr>
                    <a:xfrm>
                      <a:off x="0" y="0"/>
                      <a:ext cx="7767320" cy="10058400"/>
                    </a:xfrm>
                    <a:prstGeom prst="rect">
                      <a:avLst/>
                    </a:prstGeom>
                  </pic:spPr>
                </pic:pic>
              </a:graphicData>
            </a:graphic>
          </wp:anchor>
        </w:drawing>
      </w:r>
    </w:p>
    <w:p w:rsidR="001F6C58" w:rsidRDefault="001F6C58" w:rsidP="00401E59">
      <w:pPr>
        <w:ind w:left="900"/>
      </w:pPr>
    </w:p>
    <w:p w:rsidR="001F6C58" w:rsidRDefault="001F6C58">
      <w:r>
        <w:br w:type="page"/>
      </w:r>
    </w:p>
    <w:p w:rsidR="001F6C58" w:rsidRDefault="001F6C58" w:rsidP="00401E59">
      <w:pPr>
        <w:ind w:left="900"/>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1600200</wp:posOffset>
                </wp:positionV>
                <wp:extent cx="6515100" cy="7543800"/>
                <wp:effectExtent l="0" t="0" r="0"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C58" w:rsidRPr="001F6C58" w:rsidRDefault="001F6C58" w:rsidP="00BA27C3">
                            <w:pPr>
                              <w:spacing w:after="0"/>
                              <w:rPr>
                                <w:rFonts w:ascii="Gotham Light" w:hAnsi="Gotham Light"/>
                                <w:sz w:val="22"/>
                              </w:rPr>
                            </w:pPr>
                            <w:r w:rsidRPr="001F6C58">
                              <w:rPr>
                                <w:rFonts w:ascii="Gotham Light" w:hAnsi="Gotham Light"/>
                                <w:b/>
                                <w:sz w:val="22"/>
                              </w:rPr>
                              <w:t>Final Rule:</w:t>
                            </w:r>
                            <w:r w:rsidRPr="001F6C58">
                              <w:rPr>
                                <w:rFonts w:ascii="Gotham Light" w:hAnsi="Gotham Light"/>
                                <w:sz w:val="22"/>
                              </w:rPr>
                              <w:t xml:space="preserve"> The final provisions contained a number of modifications, including shortening the notice period from 10 days to 48 hours; applying only to cost sharing paid by an enrollee for an EHB provided by an out-of-network ancillary provider in an in-network setting; implementing these requirements for the 2018 benefit year. CMS also clarified that the proposed rule did not prohibit true balance billing by out-of-network providers – and it does not apply to plans that do not cover out of network services</w:t>
                            </w:r>
                          </w:p>
                          <w:p w:rsidR="001F6C58" w:rsidRPr="001F6C58" w:rsidRDefault="001F6C58" w:rsidP="001F6C58">
                            <w:pPr>
                              <w:spacing w:after="0"/>
                              <w:rPr>
                                <w:rFonts w:ascii="Gotham Light" w:hAnsi="Gotham Light"/>
                                <w:sz w:val="22"/>
                              </w:rPr>
                            </w:pPr>
                            <w:r w:rsidRPr="001F6C58">
                              <w:rPr>
                                <w:rFonts w:ascii="Gotham Light" w:hAnsi="Gotham Light"/>
                                <w:b/>
                                <w:sz w:val="22"/>
                              </w:rPr>
                              <w:t xml:space="preserve">GHF Position: </w:t>
                            </w:r>
                            <w:r w:rsidRPr="001F6C58">
                              <w:rPr>
                                <w:rFonts w:ascii="Gotham Light" w:hAnsi="Gotham Light"/>
                                <w:sz w:val="22"/>
                              </w:rPr>
                              <w:t xml:space="preserve">We appreciate CMS’s effort to put in place a provision to limit surprise bills to enrollees but we believe that this is an inadequate protection. Issuers can avoid responsibility by providing written notification to enrollees in advance about potential out-of-network costs. We strongly believe that enrollees should be protected from and should not be subject to out-of-network cost sharing in cases where they could not be reasonably expected to know or control whether care is being delivered by out of network providers. </w:t>
                            </w:r>
                          </w:p>
                          <w:p w:rsidR="001F6C58" w:rsidRPr="001F6C58" w:rsidRDefault="001F6C58" w:rsidP="00BA27C3">
                            <w:pPr>
                              <w:spacing w:after="0"/>
                              <w:rPr>
                                <w:rFonts w:ascii="Gotham Light" w:hAnsi="Gotham Light"/>
                                <w:sz w:val="22"/>
                              </w:rPr>
                            </w:pPr>
                          </w:p>
                          <w:p w:rsidR="001F6C58" w:rsidRPr="001F6C58" w:rsidRDefault="001F6C58" w:rsidP="00BA27C3">
                            <w:pPr>
                              <w:spacing w:after="0"/>
                              <w:rPr>
                                <w:rFonts w:ascii="Gotham Light" w:hAnsi="Gotham Light"/>
                                <w:b/>
                                <w:bCs/>
                                <w:sz w:val="22"/>
                              </w:rPr>
                            </w:pPr>
                            <w:r w:rsidRPr="001F6C58">
                              <w:rPr>
                                <w:rFonts w:ascii="Gotham Light" w:hAnsi="Gotham Light"/>
                                <w:b/>
                                <w:bCs/>
                                <w:sz w:val="22"/>
                              </w:rPr>
                              <w:t>§ 156.235 Essential Community Providers</w:t>
                            </w:r>
                          </w:p>
                          <w:p w:rsidR="001F6C58" w:rsidRPr="001F6C58" w:rsidRDefault="001F6C58" w:rsidP="00BA27C3">
                            <w:pPr>
                              <w:spacing w:after="0"/>
                              <w:rPr>
                                <w:rFonts w:ascii="Gotham Light" w:hAnsi="Gotham Light"/>
                                <w:bCs/>
                                <w:sz w:val="22"/>
                              </w:rPr>
                            </w:pPr>
                            <w:r w:rsidRPr="001F6C58">
                              <w:rPr>
                                <w:rFonts w:ascii="Gotham Light" w:hAnsi="Gotham Light"/>
                                <w:b/>
                                <w:bCs/>
                                <w:sz w:val="22"/>
                              </w:rPr>
                              <w:t>Proposed Rule:</w:t>
                            </w:r>
                            <w:r w:rsidRPr="001F6C58">
                              <w:rPr>
                                <w:rFonts w:ascii="Gotham Light" w:hAnsi="Gotham Light"/>
                                <w:bCs/>
                                <w:sz w:val="22"/>
                              </w:rPr>
                              <w:t xml:space="preserve"> Each full-time equivalent (FTE) practitioner at an essential community provider (ECP) location will be counted towards satisfying the QHP ECP requirement (and towards the ECPs in the area). Maintenance of the 30% ECPs in service area threshold. </w:t>
                            </w:r>
                          </w:p>
                          <w:p w:rsidR="001F6C58" w:rsidRPr="001F6C58" w:rsidRDefault="001F6C58" w:rsidP="00BA27C3">
                            <w:pPr>
                              <w:spacing w:after="0"/>
                              <w:rPr>
                                <w:rFonts w:ascii="Gotham Light" w:hAnsi="Gotham Light"/>
                                <w:bCs/>
                                <w:sz w:val="22"/>
                              </w:rPr>
                            </w:pPr>
                            <w:r w:rsidRPr="001F6C58">
                              <w:rPr>
                                <w:rFonts w:ascii="Gotham Light" w:hAnsi="Gotham Light"/>
                                <w:b/>
                                <w:bCs/>
                                <w:sz w:val="22"/>
                              </w:rPr>
                              <w:t>Final Rule:</w:t>
                            </w:r>
                            <w:r w:rsidRPr="001F6C58">
                              <w:rPr>
                                <w:rFonts w:ascii="Gotham Light" w:hAnsi="Gotham Light"/>
                                <w:bCs/>
                                <w:sz w:val="22"/>
                              </w:rPr>
                              <w:t xml:space="preserve"> For 2017 HHS will maintain its current policy of counting multiple providers at a single location as a single ECP provider. Beginning in 2018, HHS will allow health plans to count multiple </w:t>
                            </w:r>
                            <w:proofErr w:type="gramStart"/>
                            <w:r w:rsidRPr="001F6C58">
                              <w:rPr>
                                <w:rFonts w:ascii="Gotham Light" w:hAnsi="Gotham Light"/>
                                <w:bCs/>
                                <w:sz w:val="22"/>
                              </w:rPr>
                              <w:t>FTE  practicing</w:t>
                            </w:r>
                            <w:proofErr w:type="gramEnd"/>
                            <w:r w:rsidRPr="001F6C58">
                              <w:rPr>
                                <w:rFonts w:ascii="Gotham Light" w:hAnsi="Gotham Light"/>
                                <w:bCs/>
                                <w:sz w:val="22"/>
                              </w:rPr>
                              <w:t xml:space="preserve"> at a single location as separate ECPs for meeting ECP participation requirement.</w:t>
                            </w:r>
                          </w:p>
                          <w:p w:rsidR="001F6C58" w:rsidRPr="001F6C58" w:rsidRDefault="001F6C58" w:rsidP="00BA27C3">
                            <w:pPr>
                              <w:spacing w:after="0"/>
                              <w:rPr>
                                <w:rFonts w:ascii="Gotham Light" w:hAnsi="Gotham Light"/>
                                <w:sz w:val="22"/>
                              </w:rPr>
                            </w:pPr>
                            <w:r w:rsidRPr="001F6C58">
                              <w:rPr>
                                <w:rFonts w:ascii="Gotham Light" w:hAnsi="Gotham Light"/>
                                <w:b/>
                                <w:bCs/>
                                <w:sz w:val="22"/>
                              </w:rPr>
                              <w:t xml:space="preserve">GHF Position: </w:t>
                            </w:r>
                            <w:r w:rsidRPr="001F6C58">
                              <w:rPr>
                                <w:rFonts w:ascii="Gotham Light" w:hAnsi="Gotham Light"/>
                                <w:bCs/>
                                <w:sz w:val="22"/>
                              </w:rPr>
                              <w:t xml:space="preserve">While we agree with the maintenance of current policy for 2017, we believe that the proposed change in 2018 would hamper access to care for low-income, underserved populations. The policy change would also be impossible to implement in a simple and accurate manner (See GHF comment letter for more detail). Also, </w:t>
                            </w:r>
                            <w:r w:rsidRPr="001F6C58">
                              <w:rPr>
                                <w:rFonts w:ascii="Gotham Light" w:eastAsia="Calibri" w:hAnsi="Gotham Light" w:cs="Times New Roman"/>
                                <w:color w:val="000000"/>
                                <w:sz w:val="22"/>
                                <w:u w:color="000000"/>
                              </w:rPr>
                              <w:t xml:space="preserve">ECP standards should be set to ensure that ECPs included in-network are appropriately distributed across the geography of a plan’s service area with a special emphasis on including an adequate number of ECPs, by type of specialty, in the lowest-income and most medically underserved areas of the service area. </w:t>
                            </w:r>
                            <w:r w:rsidRPr="001F6C58">
                              <w:rPr>
                                <w:rFonts w:ascii="Gotham Light" w:hAnsi="Gotham Light"/>
                                <w:bCs/>
                                <w:sz w:val="22"/>
                              </w:rPr>
                              <w:t xml:space="preserve"> </w:t>
                            </w:r>
                          </w:p>
                          <w:p w:rsidR="001F6C58" w:rsidRPr="001F6C58" w:rsidRDefault="001F6C58" w:rsidP="004A2872">
                            <w:pPr>
                              <w:rPr>
                                <w:rFonts w:ascii="Gotham Light" w:hAnsi="Gotham Light"/>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5pt;margin-top:126pt;width:513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" filled="f" stroked="f">
                <v:textbox inset="0,0,0,0">
                  <w:txbxContent>
                    <w:p w:rsidR="001F6C58" w:rsidRPr="001F6C58" w:rsidRDefault="001F6C58" w:rsidP="00BA27C3">
                      <w:pPr>
                        <w:spacing w:after="0"/>
                        <w:rPr>
                          <w:rFonts w:ascii="Gotham Light" w:hAnsi="Gotham Light"/>
                          <w:sz w:val="22"/>
                        </w:rPr>
                      </w:pPr>
                      <w:r w:rsidRPr="001F6C58">
                        <w:rPr>
                          <w:rFonts w:ascii="Gotham Light" w:hAnsi="Gotham Light"/>
                          <w:b/>
                          <w:sz w:val="22"/>
                        </w:rPr>
                        <w:t>Final Rule:</w:t>
                      </w:r>
                      <w:r w:rsidRPr="001F6C58">
                        <w:rPr>
                          <w:rFonts w:ascii="Gotham Light" w:hAnsi="Gotham Light"/>
                          <w:sz w:val="22"/>
                        </w:rPr>
                        <w:t xml:space="preserve"> The final provisions contained a number of modifications, including shortening the notice period from 10 days to 48 hours; applying only to cost sharing paid by an enrollee for an EHB provided by an out-of-network ancillary provider in an in-network setting; implementing these requirements for the 2018 benefit year. CMS also clarified that the proposed rule did not prohibit true balance billing by out-of-network providers – and it does not apply to plans that do not cover out of network services</w:t>
                      </w:r>
                    </w:p>
                    <w:p w:rsidR="001F6C58" w:rsidRPr="001F6C58" w:rsidRDefault="001F6C58" w:rsidP="001F6C58">
                      <w:pPr>
                        <w:spacing w:after="0"/>
                        <w:rPr>
                          <w:rFonts w:ascii="Gotham Light" w:hAnsi="Gotham Light"/>
                          <w:sz w:val="22"/>
                        </w:rPr>
                      </w:pPr>
                      <w:r w:rsidRPr="001F6C58">
                        <w:rPr>
                          <w:rFonts w:ascii="Gotham Light" w:hAnsi="Gotham Light"/>
                          <w:b/>
                          <w:sz w:val="22"/>
                        </w:rPr>
                        <w:t xml:space="preserve">GHF Position: </w:t>
                      </w:r>
                      <w:r w:rsidRPr="001F6C58">
                        <w:rPr>
                          <w:rFonts w:ascii="Gotham Light" w:hAnsi="Gotham Light"/>
                          <w:sz w:val="22"/>
                        </w:rPr>
                        <w:t xml:space="preserve">We appreciate CMS’s effort to put in place a provision to limit surprise bills to enrollees but we believe that this is an inadequate protection. Issuers can avoid responsibility by providing written notification to enrollees in advance about potential out-of-network costs. We strongly believe that enrollees should be protected from and should not be subject to out-of-network cost sharing in cases where they could not be reasonably expected to know or control whether care is being delivered by out of network providers. </w:t>
                      </w:r>
                    </w:p>
                    <w:p w:rsidR="001F6C58" w:rsidRPr="001F6C58" w:rsidRDefault="001F6C58" w:rsidP="00BA27C3">
                      <w:pPr>
                        <w:spacing w:after="0"/>
                        <w:rPr>
                          <w:rFonts w:ascii="Gotham Light" w:hAnsi="Gotham Light"/>
                          <w:sz w:val="22"/>
                        </w:rPr>
                      </w:pPr>
                    </w:p>
                    <w:p w:rsidR="001F6C58" w:rsidRPr="001F6C58" w:rsidRDefault="001F6C58" w:rsidP="00BA27C3">
                      <w:pPr>
                        <w:spacing w:after="0"/>
                        <w:rPr>
                          <w:rFonts w:ascii="Gotham Light" w:hAnsi="Gotham Light"/>
                          <w:b/>
                          <w:bCs/>
                          <w:sz w:val="22"/>
                        </w:rPr>
                      </w:pPr>
                      <w:r w:rsidRPr="001F6C58">
                        <w:rPr>
                          <w:rFonts w:ascii="Gotham Light" w:hAnsi="Gotham Light"/>
                          <w:b/>
                          <w:bCs/>
                          <w:sz w:val="22"/>
                        </w:rPr>
                        <w:t>§ 156.235 Essential Community Providers</w:t>
                      </w:r>
                    </w:p>
                    <w:p w:rsidR="001F6C58" w:rsidRPr="001F6C58" w:rsidRDefault="001F6C58" w:rsidP="00BA27C3">
                      <w:pPr>
                        <w:spacing w:after="0"/>
                        <w:rPr>
                          <w:rFonts w:ascii="Gotham Light" w:hAnsi="Gotham Light"/>
                          <w:bCs/>
                          <w:sz w:val="22"/>
                        </w:rPr>
                      </w:pPr>
                      <w:r w:rsidRPr="001F6C58">
                        <w:rPr>
                          <w:rFonts w:ascii="Gotham Light" w:hAnsi="Gotham Light"/>
                          <w:b/>
                          <w:bCs/>
                          <w:sz w:val="22"/>
                        </w:rPr>
                        <w:t>Proposed Rule:</w:t>
                      </w:r>
                      <w:r w:rsidRPr="001F6C58">
                        <w:rPr>
                          <w:rFonts w:ascii="Gotham Light" w:hAnsi="Gotham Light"/>
                          <w:bCs/>
                          <w:sz w:val="22"/>
                        </w:rPr>
                        <w:t xml:space="preserve"> Each full-time equivalent (FTE) practitioner at an essential community provider (ECP) location will be counted towards satisfying the QHP ECP requirement (and towards the ECPs in the area). Maintenance of the 30% ECPs in service area threshold. </w:t>
                      </w:r>
                    </w:p>
                    <w:p w:rsidR="001F6C58" w:rsidRPr="001F6C58" w:rsidRDefault="001F6C58" w:rsidP="00BA27C3">
                      <w:pPr>
                        <w:spacing w:after="0"/>
                        <w:rPr>
                          <w:rFonts w:ascii="Gotham Light" w:hAnsi="Gotham Light"/>
                          <w:bCs/>
                          <w:sz w:val="22"/>
                        </w:rPr>
                      </w:pPr>
                      <w:r w:rsidRPr="001F6C58">
                        <w:rPr>
                          <w:rFonts w:ascii="Gotham Light" w:hAnsi="Gotham Light"/>
                          <w:b/>
                          <w:bCs/>
                          <w:sz w:val="22"/>
                        </w:rPr>
                        <w:t>Final Rule:</w:t>
                      </w:r>
                      <w:r w:rsidRPr="001F6C58">
                        <w:rPr>
                          <w:rFonts w:ascii="Gotham Light" w:hAnsi="Gotham Light"/>
                          <w:bCs/>
                          <w:sz w:val="22"/>
                        </w:rPr>
                        <w:t xml:space="preserve"> For 2017 HHS will maintain its current policy of counting multiple providers at a single location as a single ECP provider. Beginning in 2018, HHS will allow health plans to count multiple </w:t>
                      </w:r>
                      <w:proofErr w:type="gramStart"/>
                      <w:r w:rsidRPr="001F6C58">
                        <w:rPr>
                          <w:rFonts w:ascii="Gotham Light" w:hAnsi="Gotham Light"/>
                          <w:bCs/>
                          <w:sz w:val="22"/>
                        </w:rPr>
                        <w:t>FTE  practicing</w:t>
                      </w:r>
                      <w:proofErr w:type="gramEnd"/>
                      <w:r w:rsidRPr="001F6C58">
                        <w:rPr>
                          <w:rFonts w:ascii="Gotham Light" w:hAnsi="Gotham Light"/>
                          <w:bCs/>
                          <w:sz w:val="22"/>
                        </w:rPr>
                        <w:t xml:space="preserve"> at a single location as separate ECPs for meeting ECP participation requirement.</w:t>
                      </w:r>
                    </w:p>
                    <w:p w:rsidR="001F6C58" w:rsidRPr="001F6C58" w:rsidRDefault="001F6C58" w:rsidP="00BA27C3">
                      <w:pPr>
                        <w:spacing w:after="0"/>
                        <w:rPr>
                          <w:rFonts w:ascii="Gotham Light" w:hAnsi="Gotham Light"/>
                          <w:sz w:val="22"/>
                        </w:rPr>
                      </w:pPr>
                      <w:r w:rsidRPr="001F6C58">
                        <w:rPr>
                          <w:rFonts w:ascii="Gotham Light" w:hAnsi="Gotham Light"/>
                          <w:b/>
                          <w:bCs/>
                          <w:sz w:val="22"/>
                        </w:rPr>
                        <w:t xml:space="preserve">GHF Position: </w:t>
                      </w:r>
                      <w:r w:rsidRPr="001F6C58">
                        <w:rPr>
                          <w:rFonts w:ascii="Gotham Light" w:hAnsi="Gotham Light"/>
                          <w:bCs/>
                          <w:sz w:val="22"/>
                        </w:rPr>
                        <w:t xml:space="preserve">While we agree with the maintenance of current policy for 2017, we believe that the proposed change in 2018 would hamper access to care for low-income, underserved populations. The policy change would also be impossible to implement in a simple and accurate manner (See GHF comment letter for more detail). Also, </w:t>
                      </w:r>
                      <w:r w:rsidRPr="001F6C58">
                        <w:rPr>
                          <w:rFonts w:ascii="Gotham Light" w:eastAsia="Calibri" w:hAnsi="Gotham Light" w:cs="Times New Roman"/>
                          <w:color w:val="000000"/>
                          <w:sz w:val="22"/>
                          <w:u w:color="000000"/>
                        </w:rPr>
                        <w:t xml:space="preserve">ECP standards should be set to ensure that ECPs included in-network are appropriately distributed across the geography of a plan’s service area with a special emphasis on including an adequate number of ECPs, by type of specialty, in the lowest-income and most medically underserved areas of the service area. </w:t>
                      </w:r>
                      <w:r w:rsidRPr="001F6C58">
                        <w:rPr>
                          <w:rFonts w:ascii="Gotham Light" w:hAnsi="Gotham Light"/>
                          <w:bCs/>
                          <w:sz w:val="22"/>
                        </w:rPr>
                        <w:t xml:space="preserve"> </w:t>
                      </w:r>
                    </w:p>
                    <w:p w:rsidR="001F6C58" w:rsidRPr="001F6C58" w:rsidRDefault="001F6C58" w:rsidP="004A2872">
                      <w:pPr>
                        <w:rPr>
                          <w:rFonts w:ascii="Gotham Light" w:hAnsi="Gotham Light"/>
                          <w:sz w:val="18"/>
                        </w:rPr>
                      </w:pPr>
                    </w:p>
                  </w:txbxContent>
                </v:textbox>
                <w10:wrap type="tight"/>
              </v:shape>
            </w:pict>
          </mc:Fallback>
        </mc:AlternateContent>
      </w:r>
      <w:r>
        <w:rPr>
          <w:noProof/>
        </w:rPr>
        <w:drawing>
          <wp:anchor distT="0" distB="0" distL="114300" distR="114300" simplePos="0" relativeHeight="251664384" behindDoc="1" locked="1" layoutInCell="1" allowOverlap="1">
            <wp:simplePos x="0" y="0"/>
            <wp:positionH relativeFrom="column">
              <wp:posOffset>0</wp:posOffset>
            </wp:positionH>
            <wp:positionV relativeFrom="page">
              <wp:posOffset>0</wp:posOffset>
            </wp:positionV>
            <wp:extent cx="7767320" cy="10058400"/>
            <wp:effectExtent l="25400" t="0" r="5080" b="0"/>
            <wp:wrapNone/>
            <wp:docPr id="10" name="Picture 10" descr="ghf_letterhead_ƒ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_letterhead_ƒ_4c.png"/>
                    <pic:cNvPicPr/>
                  </pic:nvPicPr>
                  <pic:blipFill>
                    <a:blip r:embed="rId13"/>
                    <a:stretch>
                      <a:fillRect/>
                    </a:stretch>
                  </pic:blipFill>
                  <pic:spPr>
                    <a:xfrm>
                      <a:off x="0" y="0"/>
                      <a:ext cx="7767320" cy="10058400"/>
                    </a:xfrm>
                    <a:prstGeom prst="rect">
                      <a:avLst/>
                    </a:prstGeom>
                  </pic:spPr>
                </pic:pic>
              </a:graphicData>
            </a:graphic>
          </wp:anchor>
        </w:drawing>
      </w:r>
    </w:p>
    <w:p w:rsidR="00401E59" w:rsidRDefault="00401E59" w:rsidP="00401E59">
      <w:pPr>
        <w:ind w:left="900"/>
      </w:pPr>
    </w:p>
    <w:sectPr w:rsidR="00401E59" w:rsidSect="00401E59">
      <w:pgSz w:w="12240" w:h="15840"/>
      <w:pgMar w:top="0" w:right="1800"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Gotham Light">
    <w:panose1 w:val="00000000000000000000"/>
    <w:charset w:val="00"/>
    <w:family w:val="modern"/>
    <w:notTrueType/>
    <w:pitch w:val="variable"/>
    <w:sig w:usb0="A0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01"/>
    <w:rsid w:val="00101101"/>
    <w:rsid w:val="001F6C58"/>
    <w:rsid w:val="00401E59"/>
    <w:rsid w:val="004A287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2CF48-8064-43C4-B9C4-63E382C06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101"/>
    <w:pPr>
      <w:spacing w:before="100" w:beforeAutospacing="1" w:after="100" w:afterAutospacing="1"/>
    </w:pPr>
    <w:rPr>
      <w:rFonts w:ascii="Times" w:eastAsiaTheme="minorEastAsia" w:hAnsi="Times" w:cs="Times New Roman"/>
      <w:sz w:val="20"/>
      <w:szCs w:val="20"/>
    </w:rPr>
  </w:style>
  <w:style w:type="character" w:styleId="Hyperlink">
    <w:name w:val="Hyperlink"/>
    <w:basedOn w:val="DefaultParagraphFont"/>
    <w:uiPriority w:val="99"/>
    <w:unhideWhenUsed/>
    <w:rsid w:val="001011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ber\AppData\Local\Temp\Temp1_Re%253a_2017_NBPP.zip\Rule\2017%20BPP%20Proposed%20Rule.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file:///C:\Users\Amber\AppData\Local\Temp\Temp1_Re%253a_2017_NBPP.zip\Comment%20Letter\GHF%20Comment%20Letter%202017%20BPP%20proposed%20rule_clean.pdf" TargetMode="External"/><Relationship Id="rId12" Type="http://schemas.openxmlformats.org/officeDocument/2006/relationships/hyperlink" Target="file:///C:\Users\Amber\AppData\Local\Temp\Temp1_Re%253a_2017_NBPP.zip\Rule\2017%20BPP%20Final%20Rul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package" Target="embeddings/Microsoft_Word_Document1.docx"/><Relationship Id="rId11" Type="http://schemas.openxmlformats.org/officeDocument/2006/relationships/hyperlink" Target="file:///C:\Users\Amber\AppData\Local\Temp\Temp1_Re%253a_2017_NBPP.zip\Rule\2017%20BPP%20Proposed%20Rule.pdf"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file:///C:\Users\Amber\AppData\Local\Temp\Temp1_Re%253a_2017_NBPP.zip\Comment%20Letter\GHF%20Comment%20Letter%202017%20BPP%20proposed%20rule_clean.pdf" TargetMode="External"/><Relationship Id="rId4" Type="http://schemas.openxmlformats.org/officeDocument/2006/relationships/webSettings" Target="webSettings.xml"/><Relationship Id="rId9" Type="http://schemas.openxmlformats.org/officeDocument/2006/relationships/hyperlink" Target="file:///C:\Users\Amber\AppData\Local\Temp\Temp1_Re%253a_2017_NBPP.zip\Rule\2017%20BPP%20Final%20Rule.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ocuments\GHFSHARED\GHF%20Branding%20&amp;%20Graphics\GHF%20Branding\Letterhead%20&amp;%20Word%20Template\GHF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013F4-531B-4730-A8E1-1676BD6C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GHF_word</Template>
  <TotalTime>1</TotalTime>
  <Pages>3</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Cullen</dc:creator>
  <cp:keywords/>
  <cp:lastModifiedBy>Anna Cullen</cp:lastModifiedBy>
  <cp:revision>2</cp:revision>
  <dcterms:created xsi:type="dcterms:W3CDTF">2016-03-22T18:00:00Z</dcterms:created>
  <dcterms:modified xsi:type="dcterms:W3CDTF">2016-03-22T18:00:00Z</dcterms:modified>
</cp:coreProperties>
</file>